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9372" w14:textId="735211F8" w:rsidR="00DB441D" w:rsidRDefault="0065513D" w:rsidP="009C0853">
      <w:pPr>
        <w:ind w:left="709"/>
      </w:pPr>
      <w:bookmarkStart w:id="0" w:name="_GoBack"/>
      <w:bookmarkEnd w:id="0"/>
      <w:r w:rsidRPr="005D3407">
        <w:rPr>
          <w:rFonts w:ascii="Tahoma" w:hAnsi="Tahoma" w:cs="Tahoma"/>
          <w:noProof/>
          <w:color w:val="000000"/>
          <w:spacing w:val="-1"/>
        </w:rPr>
        <w:drawing>
          <wp:anchor distT="0" distB="0" distL="114300" distR="114300" simplePos="0" relativeHeight="251660288" behindDoc="0" locked="0" layoutInCell="1" allowOverlap="1" wp14:anchorId="377A0240" wp14:editId="3214E901">
            <wp:simplePos x="0" y="0"/>
            <wp:positionH relativeFrom="column">
              <wp:posOffset>4439285</wp:posOffset>
            </wp:positionH>
            <wp:positionV relativeFrom="paragraph">
              <wp:posOffset>110490</wp:posOffset>
            </wp:positionV>
            <wp:extent cx="1407160" cy="186690"/>
            <wp:effectExtent l="0" t="0" r="254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853">
        <w:rPr>
          <w:noProof/>
        </w:rPr>
        <w:drawing>
          <wp:anchor distT="0" distB="0" distL="114300" distR="114300" simplePos="0" relativeHeight="251661312" behindDoc="0" locked="0" layoutInCell="1" allowOverlap="1" wp14:anchorId="22D8A17E" wp14:editId="66615F88">
            <wp:simplePos x="0" y="0"/>
            <wp:positionH relativeFrom="column">
              <wp:posOffset>447675</wp:posOffset>
            </wp:positionH>
            <wp:positionV relativeFrom="paragraph">
              <wp:posOffset>0</wp:posOffset>
            </wp:positionV>
            <wp:extent cx="1438275" cy="36258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0D5129" w14:textId="66FA301E" w:rsidR="00DB441D" w:rsidRDefault="00DB441D"/>
    <w:p w14:paraId="1CC62259" w14:textId="2AD2CA47" w:rsidR="001272F5" w:rsidRDefault="001272F5"/>
    <w:p w14:paraId="78206527" w14:textId="2CB9667B" w:rsidR="00D552BA" w:rsidRDefault="00677620" w:rsidP="00677620">
      <w:pPr>
        <w:jc w:val="center"/>
      </w:pPr>
      <w:r>
        <w:rPr>
          <w:noProof/>
        </w:rPr>
        <w:drawing>
          <wp:inline distT="0" distB="0" distL="0" distR="0" wp14:anchorId="5F9D5446" wp14:editId="31B6F3BC">
            <wp:extent cx="1796764" cy="53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EK GROUP_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7451" cy="55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58B8C" w14:textId="0DF559AC" w:rsidR="00D552BA" w:rsidRPr="00C9736B" w:rsidRDefault="00D552BA"/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163"/>
      </w:tblGrid>
      <w:tr w:rsidR="009C240B" w:rsidRPr="00F46E29" w14:paraId="7B9D3855" w14:textId="77777777" w:rsidTr="00D64C93">
        <w:trPr>
          <w:trHeight w:val="21"/>
          <w:jc w:val="center"/>
        </w:trPr>
        <w:tc>
          <w:tcPr>
            <w:tcW w:w="984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C38A4B" w14:textId="77777777" w:rsidR="00C62278" w:rsidRPr="00F46E29" w:rsidRDefault="00202375" w:rsidP="001272F5">
            <w:pPr>
              <w:shd w:val="clear" w:color="auto" w:fill="FFFFFF"/>
              <w:tabs>
                <w:tab w:val="left" w:pos="6928"/>
              </w:tabs>
              <w:spacing w:line="264" w:lineRule="exact"/>
              <w:jc w:val="center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Выпуск</w:t>
            </w:r>
            <w:r w:rsidR="00BB737D"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 б</w:t>
            </w: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иржевых облигаций </w:t>
            </w:r>
            <w:r w:rsidR="001C4552"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серии </w:t>
            </w:r>
            <w:r w:rsidR="007B6B60" w:rsidRPr="00F46E29">
              <w:rPr>
                <w:rFonts w:ascii="Tahoma" w:hAnsi="Tahoma" w:cs="Tahoma"/>
                <w:b/>
                <w:color w:val="000000"/>
                <w:spacing w:val="-1"/>
              </w:rPr>
              <w:t>001Р</w:t>
            </w:r>
            <w:r w:rsidR="001C4552" w:rsidRPr="00F46E29">
              <w:rPr>
                <w:rFonts w:ascii="Tahoma" w:hAnsi="Tahoma" w:cs="Tahoma"/>
                <w:b/>
                <w:color w:val="000000"/>
                <w:spacing w:val="-1"/>
              </w:rPr>
              <w:t>-0</w:t>
            </w:r>
            <w:r w:rsidR="0031192A" w:rsidRPr="00F46E29">
              <w:rPr>
                <w:rFonts w:ascii="Tahoma" w:hAnsi="Tahoma" w:cs="Tahoma"/>
                <w:b/>
                <w:color w:val="000000"/>
                <w:spacing w:val="-1"/>
              </w:rPr>
              <w:t>1</w:t>
            </w:r>
          </w:p>
        </w:tc>
      </w:tr>
      <w:tr w:rsidR="009C240B" w:rsidRPr="00F46E29" w14:paraId="08FF6701" w14:textId="77777777" w:rsidTr="00D64C93">
        <w:trPr>
          <w:trHeight w:val="24"/>
          <w:jc w:val="center"/>
        </w:trPr>
        <w:tc>
          <w:tcPr>
            <w:tcW w:w="9849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598713F5" w14:textId="77777777" w:rsidR="00382D94" w:rsidRDefault="003A2212" w:rsidP="001272F5">
            <w:pPr>
              <w:shd w:val="clear" w:color="auto" w:fill="FFFFFF"/>
              <w:tabs>
                <w:tab w:val="left" w:pos="6928"/>
              </w:tabs>
              <w:jc w:val="center"/>
              <w:rPr>
                <w:rFonts w:ascii="Tahoma" w:hAnsi="Tahoma" w:cs="Tahoma"/>
                <w:b/>
                <w:bCs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bCs/>
                <w:color w:val="000000"/>
                <w:spacing w:val="-1"/>
              </w:rPr>
              <w:t>П</w:t>
            </w:r>
            <w:r w:rsidR="00995C8B" w:rsidRPr="00F46E29">
              <w:rPr>
                <w:rFonts w:ascii="Tahoma" w:hAnsi="Tahoma" w:cs="Tahoma"/>
                <w:b/>
                <w:bCs/>
                <w:color w:val="000000"/>
                <w:spacing w:val="-1"/>
              </w:rPr>
              <w:t>редварительные п</w:t>
            </w:r>
            <w:r w:rsidR="009C240B" w:rsidRPr="00F46E29">
              <w:rPr>
                <w:rFonts w:ascii="Tahoma" w:hAnsi="Tahoma" w:cs="Tahoma"/>
                <w:b/>
                <w:bCs/>
                <w:color w:val="000000"/>
                <w:spacing w:val="-1"/>
              </w:rPr>
              <w:t>араметры размещения</w:t>
            </w:r>
          </w:p>
          <w:p w14:paraId="2E157A3E" w14:textId="77777777" w:rsidR="001272F5" w:rsidRPr="00F46E29" w:rsidRDefault="001272F5" w:rsidP="00D552BA">
            <w:pPr>
              <w:shd w:val="clear" w:color="auto" w:fill="FFFFFF"/>
              <w:tabs>
                <w:tab w:val="left" w:pos="6928"/>
              </w:tabs>
              <w:rPr>
                <w:rFonts w:ascii="Tahoma" w:hAnsi="Tahoma" w:cs="Tahoma"/>
                <w:b/>
                <w:bCs/>
                <w:color w:val="000000"/>
                <w:spacing w:val="-1"/>
              </w:rPr>
            </w:pPr>
          </w:p>
        </w:tc>
      </w:tr>
      <w:tr w:rsidR="00AE1345" w:rsidRPr="00F46E29" w14:paraId="5E2DF9D9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491F59F8" w14:textId="77777777" w:rsidR="00AE1345" w:rsidRPr="00F46E29" w:rsidRDefault="00AE1345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Эмитент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52CB594E" w14:textId="77777777" w:rsidR="00AE1345" w:rsidRPr="00F46E29" w:rsidRDefault="007F2A25" w:rsidP="00DE48F7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>
              <w:rPr>
                <w:rFonts w:ascii="Tahoma" w:hAnsi="Tahoma" w:cs="Tahoma"/>
                <w:color w:val="000000"/>
                <w:spacing w:val="-1"/>
              </w:rPr>
              <w:t>О</w:t>
            </w:r>
            <w:r w:rsidR="00DB441D" w:rsidRPr="00F46E29">
              <w:rPr>
                <w:rFonts w:ascii="Tahoma" w:hAnsi="Tahoma" w:cs="Tahoma"/>
                <w:color w:val="000000"/>
                <w:spacing w:val="-1"/>
              </w:rPr>
              <w:t>бщество</w:t>
            </w:r>
            <w:r>
              <w:rPr>
                <w:rFonts w:ascii="Tahoma" w:hAnsi="Tahoma" w:cs="Tahoma"/>
                <w:color w:val="000000"/>
                <w:spacing w:val="-1"/>
              </w:rPr>
              <w:t xml:space="preserve"> с ограниченной ответственностью</w:t>
            </w:r>
            <w:r w:rsidR="00DB441D" w:rsidRPr="00F46E29">
              <w:rPr>
                <w:rFonts w:ascii="Tahoma" w:hAnsi="Tahoma" w:cs="Tahoma"/>
                <w:color w:val="000000"/>
                <w:spacing w:val="-1"/>
              </w:rPr>
              <w:t xml:space="preserve"> «</w:t>
            </w:r>
            <w:r w:rsidRPr="007F2A25">
              <w:rPr>
                <w:rFonts w:ascii="Tahoma" w:hAnsi="Tahoma" w:cs="Tahoma"/>
                <w:color w:val="000000"/>
                <w:spacing w:val="-1"/>
              </w:rPr>
              <w:t>ИЭК ХОЛДИНГ</w:t>
            </w:r>
            <w:r>
              <w:rPr>
                <w:rFonts w:ascii="Tahoma" w:hAnsi="Tahoma" w:cs="Tahoma"/>
                <w:color w:val="000000"/>
                <w:spacing w:val="-1"/>
              </w:rPr>
              <w:t>» (ОО</w:t>
            </w:r>
            <w:r w:rsidR="00DB441D" w:rsidRPr="00F46E29">
              <w:rPr>
                <w:rFonts w:ascii="Tahoma" w:hAnsi="Tahoma" w:cs="Tahoma"/>
                <w:color w:val="000000"/>
                <w:spacing w:val="-1"/>
              </w:rPr>
              <w:t>О «</w:t>
            </w:r>
            <w:r w:rsidRPr="007F2A25">
              <w:rPr>
                <w:rFonts w:ascii="Tahoma" w:hAnsi="Tahoma" w:cs="Tahoma"/>
                <w:color w:val="000000"/>
                <w:spacing w:val="-1"/>
              </w:rPr>
              <w:t>ИЭК ХОЛДИНГ</w:t>
            </w:r>
            <w:r w:rsidR="00DB441D" w:rsidRPr="00F46E29">
              <w:rPr>
                <w:rFonts w:ascii="Tahoma" w:hAnsi="Tahoma" w:cs="Tahoma"/>
                <w:color w:val="000000"/>
                <w:spacing w:val="-1"/>
              </w:rPr>
              <w:t>»)</w:t>
            </w:r>
          </w:p>
        </w:tc>
      </w:tr>
      <w:tr w:rsidR="00AE1345" w:rsidRPr="00F46E29" w14:paraId="27A447AA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24D6E4FB" w14:textId="77777777" w:rsidR="00AE1345" w:rsidRPr="00F46E29" w:rsidRDefault="00E07F95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Р</w:t>
            </w:r>
            <w:r w:rsidR="00AE1345"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ейтинг </w:t>
            </w:r>
            <w:r w:rsidR="00DB441D" w:rsidRPr="00F46E29">
              <w:rPr>
                <w:rFonts w:ascii="Tahoma" w:hAnsi="Tahoma" w:cs="Tahoma"/>
                <w:b/>
                <w:color w:val="000000"/>
                <w:spacing w:val="-1"/>
              </w:rPr>
              <w:t>эмитента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631B4148" w14:textId="4F242341" w:rsidR="00AE1345" w:rsidRPr="00F46E29" w:rsidRDefault="00DB441D" w:rsidP="00DE48F7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proofErr w:type="spellStart"/>
            <w:r w:rsidRPr="00F46E29">
              <w:rPr>
                <w:rFonts w:ascii="Tahoma" w:hAnsi="Tahoma" w:cs="Tahoma"/>
                <w:color w:val="000000"/>
                <w:spacing w:val="-1"/>
              </w:rPr>
              <w:t>ruА</w:t>
            </w:r>
            <w:proofErr w:type="spellEnd"/>
            <w:r w:rsidR="007F2A25">
              <w:rPr>
                <w:rFonts w:ascii="Tahoma" w:hAnsi="Tahoma" w:cs="Tahoma"/>
                <w:color w:val="000000"/>
                <w:spacing w:val="-1"/>
              </w:rPr>
              <w:t>-</w:t>
            </w:r>
            <w:r w:rsidRPr="00F46E29">
              <w:rPr>
                <w:rFonts w:ascii="Tahoma" w:hAnsi="Tahoma" w:cs="Tahoma"/>
                <w:color w:val="000000"/>
                <w:spacing w:val="-1"/>
              </w:rPr>
              <w:t xml:space="preserve"> (стабильный) </w:t>
            </w:r>
            <w:r w:rsidR="0000250B">
              <w:rPr>
                <w:rFonts w:ascii="Tahoma" w:hAnsi="Tahoma" w:cs="Tahoma"/>
                <w:color w:val="000000"/>
                <w:spacing w:val="-1"/>
              </w:rPr>
              <w:t>от</w:t>
            </w:r>
            <w:r w:rsidRPr="00F46E29">
              <w:rPr>
                <w:rFonts w:ascii="Tahoma" w:hAnsi="Tahoma" w:cs="Tahoma"/>
                <w:color w:val="000000"/>
                <w:spacing w:val="-1"/>
              </w:rPr>
              <w:t xml:space="preserve"> Эксперт РА</w:t>
            </w:r>
          </w:p>
        </w:tc>
      </w:tr>
      <w:tr w:rsidR="00430336" w:rsidRPr="00F46E29" w14:paraId="1ADE9AA1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645E1CCC" w14:textId="77777777" w:rsidR="00430336" w:rsidRPr="00F46E29" w:rsidRDefault="00E07F95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Р</w:t>
            </w:r>
            <w:r w:rsidR="00430336" w:rsidRPr="00F46E29">
              <w:rPr>
                <w:rFonts w:ascii="Tahoma" w:hAnsi="Tahoma" w:cs="Tahoma"/>
                <w:b/>
                <w:color w:val="000000"/>
                <w:spacing w:val="-1"/>
              </w:rPr>
              <w:t>ейтинг выпуска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0983A85D" w14:textId="3D0BBAD7" w:rsidR="00430336" w:rsidRPr="001946AA" w:rsidRDefault="00DB441D" w:rsidP="00AF7B26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A4FFC">
              <w:rPr>
                <w:rFonts w:ascii="Tahoma" w:hAnsi="Tahoma" w:cs="Tahoma"/>
                <w:color w:val="000000"/>
                <w:spacing w:val="-1"/>
              </w:rPr>
              <w:t>Ожидается</w:t>
            </w:r>
            <w:r w:rsidR="001946AA">
              <w:rPr>
                <w:rFonts w:ascii="Tahoma" w:hAnsi="Tahoma" w:cs="Tahoma"/>
                <w:color w:val="000000"/>
                <w:spacing w:val="-1"/>
                <w:lang w:val="en-US"/>
              </w:rPr>
              <w:t xml:space="preserve"> </w:t>
            </w:r>
            <w:r w:rsidR="001946AA">
              <w:rPr>
                <w:rFonts w:ascii="Tahoma" w:hAnsi="Tahoma" w:cs="Tahoma"/>
                <w:color w:val="000000"/>
                <w:spacing w:val="-1"/>
              </w:rPr>
              <w:t>от Эксперт РА</w:t>
            </w:r>
          </w:p>
        </w:tc>
      </w:tr>
      <w:tr w:rsidR="00300EB1" w:rsidRPr="00F46E29" w14:paraId="425E5EE5" w14:textId="77777777" w:rsidTr="00D64C93">
        <w:trPr>
          <w:trHeight w:val="21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68DED7B8" w14:textId="77777777" w:rsidR="00300EB1" w:rsidRPr="00F46E29" w:rsidRDefault="00222A43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Вид облигаций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4806A7C0" w14:textId="438FC65C" w:rsidR="00BE1C43" w:rsidRPr="005A4FFC" w:rsidRDefault="00A035C3" w:rsidP="00DE48F7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A4FFC">
              <w:rPr>
                <w:rFonts w:ascii="Tahoma" w:hAnsi="Tahoma" w:cs="Tahoma"/>
                <w:color w:val="000000"/>
                <w:spacing w:val="-1"/>
              </w:rPr>
              <w:t>Б</w:t>
            </w:r>
            <w:r w:rsidR="0031192A" w:rsidRPr="005A4FFC">
              <w:rPr>
                <w:rFonts w:ascii="Tahoma" w:hAnsi="Tahoma" w:cs="Tahoma"/>
                <w:color w:val="000000"/>
                <w:spacing w:val="-1"/>
              </w:rPr>
              <w:t>иржевые облигации процентные неконвертируемые бездокументарные с централизованным учетом прав, размещаемые путем открытой подписки в рамках Программы биржевых облигаций серии 001Р</w:t>
            </w:r>
          </w:p>
        </w:tc>
      </w:tr>
      <w:tr w:rsidR="00F46E29" w:rsidRPr="00F46E29" w14:paraId="58888F7F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396B517B" w14:textId="77777777" w:rsidR="00F46E29" w:rsidRPr="00F46E29" w:rsidRDefault="00F46E29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Серия выпуска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6521B0CD" w14:textId="77777777" w:rsidR="00F46E29" w:rsidRPr="005A4FFC" w:rsidRDefault="00F46E29" w:rsidP="00DE48F7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A4FFC">
              <w:rPr>
                <w:rFonts w:ascii="Tahoma" w:hAnsi="Tahoma" w:cs="Tahoma"/>
                <w:color w:val="000000"/>
                <w:spacing w:val="-1"/>
              </w:rPr>
              <w:t>001Р-01</w:t>
            </w:r>
          </w:p>
        </w:tc>
      </w:tr>
      <w:tr w:rsidR="002E138F" w:rsidRPr="00F46E29" w14:paraId="230D6ADA" w14:textId="77777777" w:rsidTr="00D64C93">
        <w:trPr>
          <w:trHeight w:val="21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09F5F1FA" w14:textId="77777777" w:rsidR="002E138F" w:rsidRPr="00F46E29" w:rsidRDefault="002E138F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Регистрационный номер Программы</w:t>
            </w:r>
            <w:r w:rsid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 облигаций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3B50BA72" w14:textId="77777777" w:rsidR="002E138F" w:rsidRPr="005A4FFC" w:rsidRDefault="00D912DB" w:rsidP="00DE48F7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D912DB">
              <w:rPr>
                <w:rFonts w:ascii="Tahoma" w:hAnsi="Tahoma" w:cs="Tahoma"/>
                <w:color w:val="000000"/>
                <w:spacing w:val="-1"/>
              </w:rPr>
              <w:t>4-00085-L-001P-02E от 05.10.2022</w:t>
            </w:r>
          </w:p>
        </w:tc>
      </w:tr>
      <w:tr w:rsidR="006E1FBA" w:rsidRPr="00F46E29" w14:paraId="4CDCDD3E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54C8F2F4" w14:textId="77777777" w:rsidR="006E1FBA" w:rsidRPr="00F46E29" w:rsidRDefault="006E1FBA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Номинальная стоимость облигации</w:t>
            </w:r>
            <w:r w:rsidR="002E138F"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 выпуска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3C1D589A" w14:textId="77777777" w:rsidR="006E1FBA" w:rsidRPr="005A4FFC" w:rsidRDefault="006E1FBA" w:rsidP="00DE48F7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</w:rPr>
            </w:pPr>
            <w:r w:rsidRPr="005A4FFC">
              <w:rPr>
                <w:rFonts w:ascii="Tahoma" w:hAnsi="Tahoma" w:cs="Tahoma"/>
                <w:spacing w:val="-3"/>
              </w:rPr>
              <w:t>1 000 рублей</w:t>
            </w:r>
          </w:p>
        </w:tc>
      </w:tr>
      <w:tr w:rsidR="00530B91" w:rsidRPr="00F46E29" w14:paraId="42B20969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5020706F" w14:textId="77777777" w:rsidR="00530B91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>
              <w:rPr>
                <w:rFonts w:ascii="Tahoma" w:hAnsi="Tahoma" w:cs="Tahoma"/>
                <w:b/>
                <w:color w:val="000000"/>
                <w:spacing w:val="-1"/>
              </w:rPr>
              <w:t>Н</w:t>
            </w:r>
            <w:r w:rsidR="00530B91"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оминальный объем </w:t>
            </w:r>
            <w:r>
              <w:rPr>
                <w:rFonts w:ascii="Tahoma" w:hAnsi="Tahoma" w:cs="Tahoma"/>
                <w:b/>
                <w:color w:val="000000"/>
                <w:spacing w:val="-1"/>
              </w:rPr>
              <w:t>выпуска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07863529" w14:textId="158B69A4" w:rsidR="00530B91" w:rsidRPr="005A4FFC" w:rsidRDefault="00963C09" w:rsidP="00963C09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D3407">
              <w:rPr>
                <w:rFonts w:ascii="Tahoma" w:hAnsi="Tahoma" w:cs="Tahoma"/>
                <w:color w:val="000000"/>
                <w:spacing w:val="-1"/>
              </w:rPr>
              <w:t>2</w:t>
            </w:r>
            <w:r w:rsidR="00530B91" w:rsidRPr="005D3407">
              <w:rPr>
                <w:rFonts w:ascii="Tahoma" w:hAnsi="Tahoma" w:cs="Tahoma"/>
                <w:color w:val="000000"/>
                <w:spacing w:val="-1"/>
              </w:rPr>
              <w:t xml:space="preserve"> </w:t>
            </w:r>
            <w:r w:rsidR="00530B91" w:rsidRPr="005A4FFC">
              <w:rPr>
                <w:rFonts w:ascii="Tahoma" w:hAnsi="Tahoma" w:cs="Tahoma"/>
                <w:color w:val="000000"/>
                <w:spacing w:val="-1"/>
              </w:rPr>
              <w:t>000 000 000 руб</w:t>
            </w:r>
            <w:r w:rsidR="00EB4476" w:rsidRPr="005A4FFC">
              <w:rPr>
                <w:rFonts w:ascii="Tahoma" w:hAnsi="Tahoma" w:cs="Tahoma"/>
                <w:color w:val="000000"/>
                <w:spacing w:val="-1"/>
              </w:rPr>
              <w:t>лей</w:t>
            </w:r>
          </w:p>
        </w:tc>
      </w:tr>
      <w:tr w:rsidR="00530B91" w:rsidRPr="00F46E29" w14:paraId="66483744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431FDEBB" w14:textId="77777777" w:rsidR="00530B91" w:rsidRPr="00F46E29" w:rsidRDefault="00530B91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2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2"/>
              </w:rPr>
              <w:t>Цена размещения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38B080C1" w14:textId="77777777" w:rsidR="00530B91" w:rsidRPr="005A4FFC" w:rsidRDefault="00530B91" w:rsidP="00DE48F7">
            <w:pPr>
              <w:shd w:val="clear" w:color="auto" w:fill="FFFFFF"/>
              <w:tabs>
                <w:tab w:val="left" w:pos="6928"/>
              </w:tabs>
              <w:spacing w:before="80" w:after="80"/>
              <w:jc w:val="both"/>
              <w:rPr>
                <w:rFonts w:ascii="Tahoma" w:hAnsi="Tahoma" w:cs="Tahoma"/>
                <w:spacing w:val="-1"/>
              </w:rPr>
            </w:pPr>
            <w:r w:rsidRPr="005A4FFC">
              <w:rPr>
                <w:rFonts w:ascii="Tahoma" w:hAnsi="Tahoma" w:cs="Tahoma"/>
                <w:spacing w:val="-1"/>
              </w:rPr>
              <w:t>100% от номинал</w:t>
            </w:r>
            <w:r w:rsidR="00DE48F7" w:rsidRPr="005A4FFC">
              <w:rPr>
                <w:rFonts w:ascii="Tahoma" w:hAnsi="Tahoma" w:cs="Tahoma"/>
                <w:spacing w:val="-1"/>
              </w:rPr>
              <w:t>ьной стоимости облигации</w:t>
            </w:r>
          </w:p>
        </w:tc>
      </w:tr>
      <w:tr w:rsidR="00530B91" w:rsidRPr="00F46E29" w14:paraId="5DEBD1B2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7B7D0CA8" w14:textId="77777777" w:rsidR="00530B91" w:rsidRPr="00F46E29" w:rsidRDefault="00530B91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2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2"/>
              </w:rPr>
              <w:t>Срок обращения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075B8AE3" w14:textId="481E486D" w:rsidR="00530B91" w:rsidRPr="005A4FFC" w:rsidRDefault="00793A25" w:rsidP="007F2A25">
            <w:pPr>
              <w:shd w:val="clear" w:color="auto" w:fill="FFFFFF"/>
              <w:tabs>
                <w:tab w:val="left" w:pos="6928"/>
              </w:tabs>
              <w:spacing w:before="80" w:after="80"/>
              <w:jc w:val="both"/>
              <w:rPr>
                <w:rFonts w:ascii="Tahoma" w:hAnsi="Tahoma" w:cs="Tahoma"/>
                <w:spacing w:val="-1"/>
              </w:rPr>
            </w:pPr>
            <w:r>
              <w:rPr>
                <w:rFonts w:ascii="Tahoma" w:hAnsi="Tahoma" w:cs="Tahoma"/>
                <w:spacing w:val="-1"/>
                <w:lang w:val="en-US"/>
              </w:rPr>
              <w:t>3</w:t>
            </w:r>
            <w:r w:rsidR="00382D94" w:rsidRPr="005D3407">
              <w:rPr>
                <w:rFonts w:ascii="Tahoma" w:hAnsi="Tahoma" w:cs="Tahoma"/>
                <w:spacing w:val="-1"/>
              </w:rPr>
              <w:t xml:space="preserve"> </w:t>
            </w:r>
            <w:r w:rsidR="00382D94" w:rsidRPr="005A4FFC">
              <w:rPr>
                <w:rFonts w:ascii="Tahoma" w:hAnsi="Tahoma" w:cs="Tahoma"/>
                <w:spacing w:val="-1"/>
              </w:rPr>
              <w:t>года</w:t>
            </w:r>
            <w:r w:rsidR="00530B91" w:rsidRPr="005A4FFC">
              <w:rPr>
                <w:rFonts w:ascii="Tahoma" w:hAnsi="Tahoma" w:cs="Tahoma"/>
                <w:spacing w:val="-1"/>
              </w:rPr>
              <w:t xml:space="preserve"> (</w:t>
            </w:r>
            <w:r w:rsidR="00382D94" w:rsidRPr="005A4FFC">
              <w:rPr>
                <w:rFonts w:ascii="Tahoma" w:hAnsi="Tahoma" w:cs="Tahoma"/>
                <w:spacing w:val="-1"/>
              </w:rPr>
              <w:t xml:space="preserve">1 </w:t>
            </w:r>
            <w:r w:rsidR="007F2A25">
              <w:rPr>
                <w:rFonts w:ascii="Tahoma" w:hAnsi="Tahoma" w:cs="Tahoma"/>
                <w:spacing w:val="-1"/>
                <w:lang w:val="en-US"/>
              </w:rPr>
              <w:t>092</w:t>
            </w:r>
            <w:r w:rsidR="00530B91" w:rsidRPr="005A4FFC">
              <w:rPr>
                <w:rFonts w:ascii="Tahoma" w:hAnsi="Tahoma" w:cs="Tahoma"/>
                <w:spacing w:val="-1"/>
              </w:rPr>
              <w:t xml:space="preserve"> дн</w:t>
            </w:r>
            <w:r w:rsidR="007F2A25">
              <w:rPr>
                <w:rFonts w:ascii="Tahoma" w:hAnsi="Tahoma" w:cs="Tahoma"/>
                <w:spacing w:val="-1"/>
              </w:rPr>
              <w:t>я</w:t>
            </w:r>
            <w:r w:rsidR="00530B91" w:rsidRPr="005A4FFC">
              <w:rPr>
                <w:rFonts w:ascii="Tahoma" w:hAnsi="Tahoma" w:cs="Tahoma"/>
                <w:spacing w:val="-1"/>
              </w:rPr>
              <w:t>)</w:t>
            </w:r>
          </w:p>
        </w:tc>
      </w:tr>
      <w:tr w:rsidR="00A035C3" w:rsidRPr="00F46E29" w14:paraId="70E54F00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3AD89273" w14:textId="77777777" w:rsidR="00A035C3" w:rsidRPr="00F46E29" w:rsidRDefault="00A035C3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2"/>
              </w:rPr>
            </w:pPr>
            <w:r>
              <w:rPr>
                <w:rFonts w:ascii="Tahoma" w:hAnsi="Tahoma" w:cs="Tahoma"/>
                <w:b/>
                <w:color w:val="000000"/>
                <w:spacing w:val="-2"/>
              </w:rPr>
              <w:t>Оферта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21771820" w14:textId="77777777" w:rsidR="00A035C3" w:rsidRPr="005A4FFC" w:rsidRDefault="00A035C3" w:rsidP="00DE48F7">
            <w:pPr>
              <w:shd w:val="clear" w:color="auto" w:fill="FFFFFF"/>
              <w:tabs>
                <w:tab w:val="left" w:pos="6928"/>
              </w:tabs>
              <w:spacing w:before="80" w:after="80"/>
              <w:jc w:val="both"/>
              <w:rPr>
                <w:rFonts w:ascii="Tahoma" w:hAnsi="Tahoma" w:cs="Tahoma"/>
                <w:spacing w:val="-1"/>
              </w:rPr>
            </w:pPr>
            <w:r w:rsidRPr="005A4FFC">
              <w:rPr>
                <w:rFonts w:ascii="Tahoma" w:hAnsi="Tahoma" w:cs="Tahoma"/>
                <w:spacing w:val="-1"/>
              </w:rPr>
              <w:t>Отсутствует</w:t>
            </w:r>
          </w:p>
        </w:tc>
      </w:tr>
      <w:tr w:rsidR="003566B3" w:rsidRPr="00F46E29" w14:paraId="5C3C6FA9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2814A8DD" w14:textId="77777777" w:rsidR="003566B3" w:rsidRPr="00F46E29" w:rsidRDefault="003566B3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Купонный период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3B9EF57C" w14:textId="185DD5C0" w:rsidR="003566B3" w:rsidRPr="005A4FFC" w:rsidRDefault="00DB441D" w:rsidP="00793A25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D3407">
              <w:rPr>
                <w:rFonts w:ascii="Tahoma" w:hAnsi="Tahoma" w:cs="Tahoma"/>
                <w:color w:val="000000"/>
                <w:spacing w:val="-1"/>
              </w:rPr>
              <w:t xml:space="preserve">91 </w:t>
            </w:r>
            <w:r w:rsidRPr="005A4FFC">
              <w:rPr>
                <w:rFonts w:ascii="Tahoma" w:hAnsi="Tahoma" w:cs="Tahoma"/>
                <w:color w:val="000000"/>
                <w:spacing w:val="-1"/>
              </w:rPr>
              <w:t>день</w:t>
            </w:r>
          </w:p>
        </w:tc>
      </w:tr>
      <w:tr w:rsidR="00A966CE" w:rsidRPr="00F46E29" w14:paraId="2CF8D26D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15948987" w14:textId="77777777" w:rsidR="00A966CE" w:rsidRPr="00F46E29" w:rsidRDefault="00A966CE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Способ размещения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7E6CBF6E" w14:textId="33B452B0" w:rsidR="00A966CE" w:rsidRPr="005A4FFC" w:rsidRDefault="00A966CE" w:rsidP="00DE48F7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</w:rPr>
            </w:pPr>
            <w:proofErr w:type="spellStart"/>
            <w:r w:rsidRPr="005A4FFC">
              <w:rPr>
                <w:rFonts w:ascii="Tahoma" w:hAnsi="Tahoma" w:cs="Tahoma"/>
                <w:spacing w:val="-1"/>
              </w:rPr>
              <w:t>Букбилдинг</w:t>
            </w:r>
            <w:proofErr w:type="spellEnd"/>
            <w:r w:rsidR="00C64393" w:rsidRPr="005A4FFC">
              <w:rPr>
                <w:rFonts w:ascii="Tahoma" w:hAnsi="Tahoma" w:cs="Tahoma"/>
                <w:spacing w:val="-1"/>
              </w:rPr>
              <w:t xml:space="preserve"> по купону</w:t>
            </w:r>
            <w:r w:rsidRPr="005A4FFC">
              <w:rPr>
                <w:rFonts w:ascii="Tahoma" w:hAnsi="Tahoma" w:cs="Tahoma"/>
                <w:spacing w:val="-1"/>
              </w:rPr>
              <w:t>, открытая подписка</w:t>
            </w:r>
          </w:p>
        </w:tc>
      </w:tr>
      <w:tr w:rsidR="00895DC5" w:rsidRPr="00F46E29" w14:paraId="4A998ED7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60AD75FD" w14:textId="77777777" w:rsidR="00895DC5" w:rsidRPr="00F46E29" w:rsidRDefault="00895DC5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spacing w:val="-2"/>
              </w:rPr>
            </w:pPr>
            <w:r w:rsidRPr="00F46E29">
              <w:rPr>
                <w:rFonts w:ascii="Tahoma" w:hAnsi="Tahoma" w:cs="Tahoma"/>
                <w:b/>
                <w:spacing w:val="-2"/>
              </w:rPr>
              <w:t xml:space="preserve">Ориентир </w:t>
            </w:r>
            <w:r w:rsidR="00B21DF3" w:rsidRPr="00F46E29">
              <w:rPr>
                <w:rFonts w:ascii="Tahoma" w:hAnsi="Tahoma" w:cs="Tahoma"/>
                <w:b/>
                <w:spacing w:val="-2"/>
              </w:rPr>
              <w:t>купона (</w:t>
            </w:r>
            <w:r w:rsidRPr="00F46E29">
              <w:rPr>
                <w:rFonts w:ascii="Tahoma" w:hAnsi="Tahoma" w:cs="Tahoma"/>
                <w:b/>
                <w:spacing w:val="-2"/>
              </w:rPr>
              <w:t>доходности</w:t>
            </w:r>
            <w:r w:rsidR="00B21DF3" w:rsidRPr="00F46E29">
              <w:rPr>
                <w:rFonts w:ascii="Tahoma" w:hAnsi="Tahoma" w:cs="Tahoma"/>
                <w:b/>
                <w:spacing w:val="-2"/>
              </w:rPr>
              <w:t>)</w:t>
            </w:r>
          </w:p>
        </w:tc>
        <w:tc>
          <w:tcPr>
            <w:tcW w:w="6163" w:type="dxa"/>
            <w:shd w:val="clear" w:color="auto" w:fill="FFFFFF" w:themeFill="background1"/>
            <w:vAlign w:val="center"/>
          </w:tcPr>
          <w:p w14:paraId="7994554E" w14:textId="77777777" w:rsidR="00895DC5" w:rsidRPr="005A4FFC" w:rsidRDefault="00E07F95" w:rsidP="00DE48F7">
            <w:pPr>
              <w:tabs>
                <w:tab w:val="left" w:pos="244"/>
              </w:tabs>
              <w:spacing w:before="80" w:after="80"/>
              <w:ind w:right="142"/>
              <w:jc w:val="both"/>
              <w:rPr>
                <w:rFonts w:ascii="Tahoma" w:hAnsi="Tahoma" w:cs="Tahoma"/>
                <w:spacing w:val="-1"/>
              </w:rPr>
            </w:pPr>
            <w:r w:rsidRPr="005A4FFC">
              <w:rPr>
                <w:rFonts w:ascii="Tahoma" w:hAnsi="Tahoma" w:cs="Tahoma"/>
                <w:shd w:val="clear" w:color="auto" w:fill="FFFFFF"/>
              </w:rPr>
              <w:t>Будет определен позднее</w:t>
            </w:r>
          </w:p>
        </w:tc>
      </w:tr>
      <w:tr w:rsidR="00222A43" w:rsidRPr="00F46E29" w14:paraId="292A05E4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0009B18A" w14:textId="77777777" w:rsidR="00222A43" w:rsidRPr="00F46E29" w:rsidRDefault="00222A43" w:rsidP="00DE48F7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Предварительная дата </w:t>
            </w:r>
            <w:proofErr w:type="spellStart"/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>букбилдинга</w:t>
            </w:r>
            <w:proofErr w:type="spellEnd"/>
          </w:p>
        </w:tc>
        <w:tc>
          <w:tcPr>
            <w:tcW w:w="6163" w:type="dxa"/>
            <w:shd w:val="clear" w:color="auto" w:fill="FFFFFF"/>
            <w:vAlign w:val="center"/>
          </w:tcPr>
          <w:p w14:paraId="0EECB009" w14:textId="6B316D3C" w:rsidR="00222A43" w:rsidRPr="005A4FFC" w:rsidRDefault="007F2A25" w:rsidP="00A16232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  <w:lang w:val="en-US"/>
              </w:rPr>
            </w:pPr>
            <w:r>
              <w:rPr>
                <w:rFonts w:ascii="Tahoma" w:hAnsi="Tahoma" w:cs="Tahoma"/>
                <w:color w:val="000000"/>
                <w:spacing w:val="-1"/>
              </w:rPr>
              <w:t>Ноябрь</w:t>
            </w:r>
            <w:r w:rsidR="00A16232">
              <w:rPr>
                <w:rFonts w:ascii="Tahoma" w:hAnsi="Tahoma" w:cs="Tahoma"/>
                <w:color w:val="000000"/>
                <w:spacing w:val="-1"/>
              </w:rPr>
              <w:t xml:space="preserve"> – середина декабря</w:t>
            </w:r>
            <w:r w:rsidR="004427A5" w:rsidRPr="005A4FFC">
              <w:rPr>
                <w:rFonts w:ascii="Tahoma" w:hAnsi="Tahoma" w:cs="Tahoma"/>
                <w:color w:val="000000"/>
                <w:spacing w:val="-1"/>
              </w:rPr>
              <w:t xml:space="preserve"> 2022 года</w:t>
            </w:r>
          </w:p>
        </w:tc>
      </w:tr>
      <w:tr w:rsidR="004427A5" w:rsidRPr="00F46E29" w14:paraId="4ADFC6AC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4C30BAF0" w14:textId="77777777" w:rsidR="004427A5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1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1"/>
              </w:rPr>
              <w:t xml:space="preserve">Предварительная дата размещения 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048058EA" w14:textId="52E327C7" w:rsidR="004427A5" w:rsidRPr="005A4FFC" w:rsidRDefault="002E52BD" w:rsidP="00AB4712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  <w:lang w:val="en-US"/>
              </w:rPr>
            </w:pPr>
            <w:r w:rsidRPr="002E52BD">
              <w:rPr>
                <w:rFonts w:ascii="Tahoma" w:hAnsi="Tahoma" w:cs="Tahoma"/>
                <w:color w:val="000000"/>
                <w:spacing w:val="-1"/>
              </w:rPr>
              <w:t>Будет определен</w:t>
            </w:r>
            <w:r>
              <w:rPr>
                <w:rFonts w:ascii="Tahoma" w:hAnsi="Tahoma" w:cs="Tahoma"/>
                <w:color w:val="000000"/>
                <w:spacing w:val="-1"/>
              </w:rPr>
              <w:t>а</w:t>
            </w:r>
            <w:r w:rsidRPr="002E52BD">
              <w:rPr>
                <w:rFonts w:ascii="Tahoma" w:hAnsi="Tahoma" w:cs="Tahoma"/>
                <w:color w:val="000000"/>
                <w:spacing w:val="-1"/>
              </w:rPr>
              <w:t xml:space="preserve"> позднее</w:t>
            </w:r>
          </w:p>
        </w:tc>
      </w:tr>
      <w:tr w:rsidR="004427A5" w:rsidRPr="00F46E29" w14:paraId="028B659A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05D5A122" w14:textId="77777777" w:rsidR="004427A5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2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2"/>
              </w:rPr>
              <w:t>Листинг и размещение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6F93575C" w14:textId="6F39122E" w:rsidR="004427A5" w:rsidRPr="005A4FFC" w:rsidRDefault="004427A5" w:rsidP="00793A25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A4FFC">
              <w:rPr>
                <w:rFonts w:ascii="Tahoma" w:hAnsi="Tahoma" w:cs="Tahoma"/>
                <w:color w:val="000000"/>
                <w:spacing w:val="-1"/>
              </w:rPr>
              <w:t xml:space="preserve">ПАО Московская Биржа, ожидается </w:t>
            </w:r>
            <w:r w:rsidR="007F2A25" w:rsidRPr="005D3407">
              <w:rPr>
                <w:rFonts w:ascii="Tahoma" w:hAnsi="Tahoma" w:cs="Tahoma"/>
                <w:color w:val="000000"/>
                <w:spacing w:val="-1"/>
              </w:rPr>
              <w:t>Второй</w:t>
            </w:r>
            <w:r w:rsidRPr="005A4FFC">
              <w:rPr>
                <w:rFonts w:ascii="Tahoma" w:hAnsi="Tahoma" w:cs="Tahoma"/>
                <w:color w:val="000000"/>
                <w:spacing w:val="-1"/>
              </w:rPr>
              <w:t xml:space="preserve"> уровень листинга</w:t>
            </w:r>
          </w:p>
        </w:tc>
      </w:tr>
      <w:tr w:rsidR="004427A5" w:rsidRPr="00F46E29" w14:paraId="64435C5D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38C57E1E" w14:textId="77777777" w:rsidR="004427A5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2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2"/>
              </w:rPr>
              <w:t>Вторичное обращение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0B840F15" w14:textId="77777777" w:rsidR="004427A5" w:rsidRPr="005A4FFC" w:rsidRDefault="004427A5" w:rsidP="004427A5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A4FFC">
              <w:rPr>
                <w:rFonts w:ascii="Tahoma" w:hAnsi="Tahoma" w:cs="Tahoma"/>
                <w:color w:val="000000"/>
                <w:spacing w:val="-1"/>
              </w:rPr>
              <w:t>ПАО Московская Биржа; внебиржевой рынок</w:t>
            </w:r>
          </w:p>
        </w:tc>
      </w:tr>
      <w:tr w:rsidR="004427A5" w:rsidRPr="00F46E29" w14:paraId="28E3CC21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073B3D6C" w14:textId="77777777" w:rsidR="004427A5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2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2"/>
              </w:rPr>
              <w:t>Депозитарий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06AFFF5A" w14:textId="77777777" w:rsidR="004427A5" w:rsidRPr="005A4FFC" w:rsidRDefault="004427A5" w:rsidP="004427A5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 w:rsidRPr="005A4FFC">
              <w:rPr>
                <w:rFonts w:ascii="Tahoma" w:hAnsi="Tahoma" w:cs="Tahoma"/>
                <w:color w:val="000000"/>
                <w:spacing w:val="-1"/>
              </w:rPr>
              <w:t>НКО АО НРД</w:t>
            </w:r>
          </w:p>
        </w:tc>
      </w:tr>
      <w:tr w:rsidR="004427A5" w:rsidRPr="00F46E29" w14:paraId="06D94867" w14:textId="77777777" w:rsidTr="00D64C93">
        <w:trPr>
          <w:trHeight w:val="24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461ADCD0" w14:textId="6ED9B47E" w:rsidR="004427A5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2"/>
              </w:rPr>
              <w:t>Организатор</w:t>
            </w:r>
            <w:r w:rsidR="00FB7D66">
              <w:rPr>
                <w:rFonts w:ascii="Tahoma" w:hAnsi="Tahoma" w:cs="Tahoma"/>
                <w:b/>
                <w:color w:val="000000"/>
                <w:spacing w:val="-2"/>
              </w:rPr>
              <w:t>ы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0F95F4B4" w14:textId="76E0F405" w:rsidR="004427A5" w:rsidRPr="00FB7D66" w:rsidRDefault="00FB7D66" w:rsidP="001B2691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>
              <w:rPr>
                <w:rFonts w:ascii="Tahoma" w:hAnsi="Tahoma" w:cs="Tahoma"/>
                <w:color w:val="000000"/>
                <w:spacing w:val="-1"/>
              </w:rPr>
              <w:t xml:space="preserve">Банк </w:t>
            </w:r>
            <w:r w:rsidR="00835124">
              <w:rPr>
                <w:rFonts w:ascii="Tahoma" w:hAnsi="Tahoma" w:cs="Tahoma"/>
                <w:color w:val="000000"/>
                <w:spacing w:val="-1"/>
              </w:rPr>
              <w:t>«</w:t>
            </w:r>
            <w:r>
              <w:rPr>
                <w:rFonts w:ascii="Tahoma" w:hAnsi="Tahoma" w:cs="Tahoma"/>
                <w:color w:val="000000"/>
                <w:spacing w:val="-1"/>
              </w:rPr>
              <w:t>Открытие</w:t>
            </w:r>
            <w:r w:rsidR="00835124">
              <w:rPr>
                <w:rFonts w:ascii="Tahoma" w:hAnsi="Tahoma" w:cs="Tahoma"/>
                <w:color w:val="000000"/>
                <w:spacing w:val="-1"/>
              </w:rPr>
              <w:t>»</w:t>
            </w:r>
            <w:r>
              <w:rPr>
                <w:rFonts w:ascii="Tahoma" w:hAnsi="Tahoma" w:cs="Tahoma"/>
                <w:color w:val="000000"/>
                <w:spacing w:val="-1"/>
              </w:rPr>
              <w:t>, Совкомбанк</w:t>
            </w:r>
          </w:p>
        </w:tc>
      </w:tr>
      <w:tr w:rsidR="004427A5" w:rsidRPr="00F46E29" w14:paraId="59E3D906" w14:textId="77777777" w:rsidTr="00D64C93">
        <w:trPr>
          <w:trHeight w:val="7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58BB54EF" w14:textId="77777777" w:rsidR="004427A5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  <w:spacing w:val="-2"/>
              </w:rPr>
            </w:pPr>
            <w:r w:rsidRPr="00F46E29">
              <w:rPr>
                <w:rFonts w:ascii="Tahoma" w:hAnsi="Tahoma" w:cs="Tahoma"/>
                <w:b/>
                <w:color w:val="000000"/>
                <w:spacing w:val="-2"/>
              </w:rPr>
              <w:t>Агент по размещению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25B63389" w14:textId="664BD390" w:rsidR="004427A5" w:rsidRPr="00835124" w:rsidRDefault="00835124" w:rsidP="004427A5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  <w:spacing w:val="-1"/>
              </w:rPr>
            </w:pPr>
            <w:r>
              <w:rPr>
                <w:rFonts w:ascii="Tahoma" w:hAnsi="Tahoma" w:cs="Tahoma"/>
                <w:color w:val="000000"/>
                <w:spacing w:val="-1"/>
              </w:rPr>
              <w:t>Совкомбанк</w:t>
            </w:r>
          </w:p>
        </w:tc>
      </w:tr>
      <w:tr w:rsidR="004427A5" w:rsidRPr="00F46E29" w14:paraId="7FED7C78" w14:textId="77777777" w:rsidTr="004A2598">
        <w:trPr>
          <w:trHeight w:val="19"/>
          <w:jc w:val="center"/>
        </w:trPr>
        <w:tc>
          <w:tcPr>
            <w:tcW w:w="3686" w:type="dxa"/>
            <w:shd w:val="clear" w:color="auto" w:fill="FFFFFF"/>
            <w:vAlign w:val="center"/>
          </w:tcPr>
          <w:p w14:paraId="1509953F" w14:textId="77777777" w:rsidR="004427A5" w:rsidRPr="00F46E29" w:rsidRDefault="004427A5" w:rsidP="004427A5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</w:rPr>
            </w:pPr>
            <w:r w:rsidRPr="00F46E29">
              <w:rPr>
                <w:rFonts w:ascii="Tahoma" w:hAnsi="Tahoma" w:cs="Tahoma"/>
                <w:b/>
                <w:color w:val="000000"/>
              </w:rPr>
              <w:t>Требования по инвестированию средств институциональных инвесторов</w:t>
            </w:r>
          </w:p>
        </w:tc>
        <w:tc>
          <w:tcPr>
            <w:tcW w:w="6163" w:type="dxa"/>
            <w:shd w:val="clear" w:color="auto" w:fill="FFFFFF"/>
            <w:vAlign w:val="center"/>
          </w:tcPr>
          <w:p w14:paraId="2BAF521A" w14:textId="77777777" w:rsidR="004427A5" w:rsidRPr="00F46E29" w:rsidRDefault="004427A5" w:rsidP="004427A5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</w:rPr>
            </w:pPr>
            <w:r w:rsidRPr="00F46E29">
              <w:rPr>
                <w:rFonts w:ascii="Tahoma" w:hAnsi="Tahoma" w:cs="Tahoma"/>
                <w:color w:val="000000"/>
              </w:rPr>
              <w:t>Выпуск удовлетворяет требованиям по инвестированию средств пенсионных накоплений и страховых резервов</w:t>
            </w:r>
          </w:p>
        </w:tc>
      </w:tr>
      <w:tr w:rsidR="004A2598" w:rsidRPr="00F46E29" w14:paraId="248F4FF4" w14:textId="77777777" w:rsidTr="005560DF">
        <w:trPr>
          <w:trHeight w:val="19"/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14:paraId="11972088" w14:textId="74E8EDD2" w:rsidR="004A2598" w:rsidRPr="00F46E29" w:rsidRDefault="004A2598" w:rsidP="004A2598">
            <w:pPr>
              <w:shd w:val="clear" w:color="auto" w:fill="FFFFFF"/>
              <w:spacing w:before="80" w:after="80"/>
              <w:rPr>
                <w:rFonts w:ascii="Tahoma" w:hAnsi="Tahoma" w:cs="Tahoma"/>
                <w:b/>
                <w:color w:val="000000"/>
              </w:rPr>
            </w:pPr>
            <w:r w:rsidRPr="004A2598">
              <w:rPr>
                <w:rFonts w:ascii="Tahoma" w:hAnsi="Tahoma" w:cs="Tahoma"/>
                <w:b/>
                <w:color w:val="000000"/>
              </w:rPr>
              <w:t>Ломбардный список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FFFFFF"/>
          </w:tcPr>
          <w:p w14:paraId="6DC7C9A2" w14:textId="349D2BC8" w:rsidR="004A2598" w:rsidRPr="00F46E29" w:rsidRDefault="004A2598" w:rsidP="004A2598">
            <w:pPr>
              <w:shd w:val="clear" w:color="auto" w:fill="FFFFFF"/>
              <w:spacing w:before="80" w:after="80"/>
              <w:jc w:val="both"/>
              <w:rPr>
                <w:rFonts w:ascii="Tahoma" w:hAnsi="Tahoma" w:cs="Tahoma"/>
                <w:color w:val="000000"/>
              </w:rPr>
            </w:pPr>
            <w:r w:rsidRPr="004A2598">
              <w:rPr>
                <w:rFonts w:ascii="Tahoma" w:hAnsi="Tahoma" w:cs="Tahoma"/>
                <w:color w:val="000000"/>
              </w:rPr>
              <w:t>Выпуск соответствует требованиям по включению в Ломбардный список Банка России</w:t>
            </w:r>
          </w:p>
        </w:tc>
      </w:tr>
    </w:tbl>
    <w:p w14:paraId="54CCFD4E" w14:textId="77777777" w:rsidR="006C006A" w:rsidRDefault="006C006A" w:rsidP="00430336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color w:val="000000"/>
        </w:rPr>
      </w:pPr>
    </w:p>
    <w:p w14:paraId="571E80F6" w14:textId="77777777" w:rsidR="001272F5" w:rsidRDefault="001272F5" w:rsidP="00F46E29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color w:val="7F7F7F" w:themeColor="text1" w:themeTint="80"/>
        </w:rPr>
      </w:pPr>
    </w:p>
    <w:p w14:paraId="49F45016" w14:textId="26F88F3F" w:rsidR="00387E1D" w:rsidRPr="00A04808" w:rsidRDefault="00387E1D" w:rsidP="00D03309">
      <w:pPr>
        <w:widowControl/>
        <w:autoSpaceDE/>
        <w:autoSpaceDN/>
        <w:adjustRightInd/>
        <w:jc w:val="center"/>
        <w:rPr>
          <w:rFonts w:ascii="Tahoma" w:hAnsi="Tahoma" w:cs="Tahoma"/>
          <w:b/>
          <w:bCs/>
          <w:color w:val="7F7F7F" w:themeColor="text1" w:themeTint="80"/>
        </w:rPr>
      </w:pPr>
      <w:r w:rsidRPr="00A04808">
        <w:rPr>
          <w:rFonts w:ascii="Tahoma" w:hAnsi="Tahoma" w:cs="Tahoma"/>
          <w:b/>
          <w:bCs/>
          <w:color w:val="7F7F7F" w:themeColor="text1" w:themeTint="80"/>
        </w:rPr>
        <w:lastRenderedPageBreak/>
        <w:t>НЕ ЯВЛЯЕТСЯ ИНВЕСТИЦИОННОЙ РЕКОМЕНДАЦИЕЙ, В ТОМ ЧИСЛЕ ИНДИВИДУАЛЬНОЙ</w:t>
      </w:r>
    </w:p>
    <w:p w14:paraId="3CB148CA" w14:textId="77777777" w:rsidR="00E758D0" w:rsidRPr="00A04808" w:rsidRDefault="00E758D0" w:rsidP="00A904BD">
      <w:pPr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</w:p>
    <w:p w14:paraId="78423D54" w14:textId="77777777" w:rsidR="00387E1D" w:rsidRPr="00A04808" w:rsidRDefault="00387E1D" w:rsidP="00A904BD">
      <w:pPr>
        <w:jc w:val="center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>Внимание!</w:t>
      </w:r>
    </w:p>
    <w:p w14:paraId="2037B874" w14:textId="77777777" w:rsidR="00387E1D" w:rsidRPr="00A04808" w:rsidRDefault="00387E1D" w:rsidP="00A904BD">
      <w:pPr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</w:p>
    <w:p w14:paraId="14ABF437" w14:textId="77777777" w:rsidR="00387E1D" w:rsidRPr="00A04808" w:rsidRDefault="00387E1D" w:rsidP="006E1FBA">
      <w:pPr>
        <w:ind w:left="426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Настоящий информационный материал </w:t>
      </w:r>
      <w:r w:rsidRPr="00A04808">
        <w:rPr>
          <w:rFonts w:ascii="Tahoma" w:hAnsi="Tahoma" w:cs="Tahoma"/>
          <w:b/>
          <w:bCs/>
          <w:color w:val="7F7F7F" w:themeColor="text1" w:themeTint="80"/>
          <w:sz w:val="16"/>
          <w:szCs w:val="16"/>
        </w:rPr>
        <w:t xml:space="preserve">не является индивидуальной инвестиционной рекомендацией </w:t>
      </w: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в значении статьи 6.1. и 6.2. Федерального закона от 22.04.1996 №39-ФЗ «О рынке ценных бумаг» и, если применимо, иных нормативных актов Российской Федерации. Любое лицо, ознакомляющееся с настоящим информационным материалом, не должно воспринимать его как адресованную лично ему индивидуальную рекомендацию по приобретению/размещению ценных бумаг и должно учитывать, что информация о ценной бумаге, которая содержится в настоящем документе: </w:t>
      </w:r>
    </w:p>
    <w:p w14:paraId="23C48CB1" w14:textId="4542930E" w:rsidR="00387E1D" w:rsidRPr="00A04808" w:rsidRDefault="00387E1D" w:rsidP="00CB64CC">
      <w:pPr>
        <w:ind w:left="851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а) подготовлена и предоставляется </w:t>
      </w:r>
      <w:r w:rsidRPr="00A04808">
        <w:rPr>
          <w:rFonts w:ascii="Tahoma" w:hAnsi="Tahoma" w:cs="Tahoma"/>
          <w:b/>
          <w:bCs/>
          <w:color w:val="7F7F7F" w:themeColor="text1" w:themeTint="80"/>
          <w:sz w:val="16"/>
          <w:szCs w:val="16"/>
        </w:rPr>
        <w:t xml:space="preserve">обезличено </w:t>
      </w: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>и не на основании какого-либо договора об инвестиционном консультировании, а также не на основании инвестиционного профиля получателя информации, даже если какие-либо договоры об инвестиционном консультировании были заключены между Организатором (-</w:t>
      </w:r>
      <w:proofErr w:type="spellStart"/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>ами</w:t>
      </w:r>
      <w:proofErr w:type="spellEnd"/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) и (или) Агентом по размещению и (или) Эмитентом и (или) потенциальным инвестором и (или) иным получателем настоящего информационного материала; </w:t>
      </w:r>
    </w:p>
    <w:p w14:paraId="46562A4F" w14:textId="77777777" w:rsidR="00387E1D" w:rsidRPr="00A04808" w:rsidRDefault="00387E1D" w:rsidP="00CB64CC">
      <w:pPr>
        <w:ind w:left="851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б) представляет собой </w:t>
      </w:r>
      <w:r w:rsidRPr="00A04808">
        <w:rPr>
          <w:rFonts w:ascii="Tahoma" w:hAnsi="Tahoma" w:cs="Tahoma"/>
          <w:b/>
          <w:bCs/>
          <w:color w:val="7F7F7F" w:themeColor="text1" w:themeTint="80"/>
          <w:sz w:val="16"/>
          <w:szCs w:val="16"/>
        </w:rPr>
        <w:t>универсальные для всех лиц сведения</w:t>
      </w: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, в том числе общедоступные для всех сведения. Она может не соответствовать инвестиционному профилю </w:t>
      </w:r>
      <w:r w:rsidR="00487150" w:rsidRPr="00A04808">
        <w:rPr>
          <w:rFonts w:ascii="Tahoma" w:hAnsi="Tahoma" w:cs="Tahoma"/>
          <w:color w:val="7F7F7F" w:themeColor="text1" w:themeTint="80"/>
          <w:sz w:val="16"/>
          <w:szCs w:val="16"/>
        </w:rPr>
        <w:t>получателя</w:t>
      </w: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 информации и (или) юридического лица, в котором получатель информации является работником (лицом, оказывающим услуги юридическому лицу на основании договора), не учитывать его (их) индивидуальные предпочтения и ожидания по уровню риска и/или доходности и, таким образом, не является индивидуальной инвестиционной рекомендацией персонально ему (им). </w:t>
      </w:r>
    </w:p>
    <w:p w14:paraId="72A1E187" w14:textId="77777777" w:rsidR="00387E1D" w:rsidRPr="00A04808" w:rsidRDefault="00387E1D" w:rsidP="006E1FBA">
      <w:pPr>
        <w:ind w:left="426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</w:p>
    <w:p w14:paraId="4755E729" w14:textId="77777777" w:rsidR="00387E1D" w:rsidRPr="00A04808" w:rsidRDefault="00387E1D" w:rsidP="006E1FBA">
      <w:pPr>
        <w:ind w:left="426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Получатель настоящего информационного материала должен осознавать, что: </w:t>
      </w:r>
    </w:p>
    <w:p w14:paraId="4591F81F" w14:textId="77777777" w:rsidR="00387E1D" w:rsidRPr="00A04808" w:rsidRDefault="00387E1D" w:rsidP="006E1FBA">
      <w:pPr>
        <w:spacing w:after="8"/>
        <w:ind w:left="426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>а) Агент по размещению</w:t>
      </w:r>
      <w:r w:rsidR="00E07F95"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 и</w:t>
      </w: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 Организаторы при направлении настоящего информационного материала не оценивали приемлемость размещения / участия в размещении указанных в настоящем информационном материале ценных бумаг лично для получателя информационного материала и (или) юридического лица, в котором такой получатель является работником (лицом, оказывающим услуги юридическому лицу на основании договора); </w:t>
      </w:r>
    </w:p>
    <w:p w14:paraId="0BE88A24" w14:textId="77777777" w:rsidR="00387E1D" w:rsidRPr="00A04808" w:rsidRDefault="00387E1D" w:rsidP="006E1FBA">
      <w:pPr>
        <w:spacing w:after="8"/>
        <w:ind w:left="426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>б) само по себе направление настоящего информационного материала и коммуникации с его получателем, связанные с направлением такого материала, не являются предос</w:t>
      </w:r>
      <w:r w:rsidR="00E07F95" w:rsidRPr="00A04808">
        <w:rPr>
          <w:rFonts w:ascii="Tahoma" w:hAnsi="Tahoma" w:cs="Tahoma"/>
          <w:color w:val="7F7F7F" w:themeColor="text1" w:themeTint="80"/>
          <w:sz w:val="16"/>
          <w:szCs w:val="16"/>
        </w:rPr>
        <w:t>тавлением Агентом по размещению и</w:t>
      </w: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 Организаторами услуг по инвестиционному консультированию ни на возмездной, ни на безвозмездной основе; </w:t>
      </w:r>
    </w:p>
    <w:p w14:paraId="7308487D" w14:textId="77777777" w:rsidR="00387E1D" w:rsidRPr="00A04808" w:rsidRDefault="00387E1D" w:rsidP="006E1FBA">
      <w:pPr>
        <w:spacing w:after="8"/>
        <w:ind w:left="426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в) рекомендации в отношении ценных бумаг могут быть предоставлены получателю настоящих материалов только на основании отдельного возмездного договора на условиях, согласованных сторонами такого договора, в соответствии с инвестиционным профилем, присвоенным такому лицу инвестиционным консультантом на основании ожидаемой таким лицом доходности инвестиций, сроков планируемых инвестиций, а также допустимом риске убытков; </w:t>
      </w:r>
    </w:p>
    <w:p w14:paraId="1FD1D335" w14:textId="2CB404AB" w:rsidR="00387E1D" w:rsidRPr="00A04808" w:rsidRDefault="00387E1D" w:rsidP="006E1FBA">
      <w:pPr>
        <w:ind w:left="426" w:right="425"/>
        <w:jc w:val="both"/>
        <w:rPr>
          <w:rFonts w:ascii="Tahoma" w:hAnsi="Tahoma" w:cs="Tahoma"/>
          <w:color w:val="7F7F7F" w:themeColor="text1" w:themeTint="80"/>
          <w:sz w:val="16"/>
          <w:szCs w:val="16"/>
        </w:rPr>
      </w:pPr>
      <w:r w:rsidRPr="00A04808">
        <w:rPr>
          <w:rFonts w:ascii="Tahoma" w:hAnsi="Tahoma" w:cs="Tahoma"/>
          <w:color w:val="7F7F7F" w:themeColor="text1" w:themeTint="80"/>
          <w:sz w:val="16"/>
          <w:szCs w:val="16"/>
        </w:rPr>
        <w:t xml:space="preserve">г) Как Эмитент, так и инвесторы (потенциальные приобретатели ценных бумаг) и (или) иные получатели настоящего информационного материала должны принимать решение о размещении/приобретении ценных бумаг самостоятельно, проведя надлежащий анализ финансовых и иных рисков, связанных с такими действиями и (или) при необходимости привлекая профессиональных консультантов. </w:t>
      </w:r>
    </w:p>
    <w:p w14:paraId="4FA04C07" w14:textId="76011B54" w:rsidR="00387E1D" w:rsidRPr="00A04808" w:rsidRDefault="00387E1D" w:rsidP="00A904BD">
      <w:pPr>
        <w:rPr>
          <w:rFonts w:ascii="Tahoma" w:hAnsi="Tahoma" w:cs="Tahoma"/>
          <w:bCs/>
          <w:color w:val="7F7F7F" w:themeColor="text1" w:themeTint="80"/>
        </w:rPr>
      </w:pPr>
    </w:p>
    <w:p w14:paraId="53919616" w14:textId="7490446A" w:rsidR="001F57ED" w:rsidRDefault="001F57ED" w:rsidP="00DA3F8D">
      <w:pPr>
        <w:rPr>
          <w:rFonts w:ascii="Tahoma" w:hAnsi="Tahoma" w:cs="Tahoma"/>
          <w:sz w:val="4"/>
          <w:szCs w:val="4"/>
        </w:rPr>
      </w:pPr>
    </w:p>
    <w:sectPr w:rsidR="001F57ED" w:rsidSect="00D03309">
      <w:headerReference w:type="default" r:id="rId11"/>
      <w:footerReference w:type="even" r:id="rId12"/>
      <w:footerReference w:type="default" r:id="rId13"/>
      <w:footnotePr>
        <w:numRestart w:val="eachPage"/>
      </w:footnotePr>
      <w:pgSz w:w="11906" w:h="16838"/>
      <w:pgMar w:top="720" w:right="720" w:bottom="720" w:left="720" w:header="14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1BF0B" w14:textId="77777777" w:rsidR="004B53DD" w:rsidRDefault="004B53DD">
      <w:r>
        <w:separator/>
      </w:r>
    </w:p>
  </w:endnote>
  <w:endnote w:type="continuationSeparator" w:id="0">
    <w:p w14:paraId="668493DD" w14:textId="77777777" w:rsidR="004B53DD" w:rsidRDefault="004B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F761F" w14:textId="4E768744" w:rsidR="00BD28D0" w:rsidRDefault="00BD28D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5513D">
      <w:rPr>
        <w:rStyle w:val="aa"/>
        <w:noProof/>
      </w:rPr>
      <w:t>2</w:t>
    </w:r>
    <w:r>
      <w:rPr>
        <w:rStyle w:val="aa"/>
      </w:rPr>
      <w:fldChar w:fldCharType="end"/>
    </w:r>
  </w:p>
  <w:p w14:paraId="627375FA" w14:textId="77777777" w:rsidR="00BD28D0" w:rsidRDefault="00BD28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F0BDC" w14:textId="77777777" w:rsidR="00BD28D0" w:rsidRDefault="00BD28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BE731" w14:textId="77777777" w:rsidR="004B53DD" w:rsidRDefault="004B53DD">
      <w:r>
        <w:separator/>
      </w:r>
    </w:p>
  </w:footnote>
  <w:footnote w:type="continuationSeparator" w:id="0">
    <w:p w14:paraId="7841819D" w14:textId="77777777" w:rsidR="004B53DD" w:rsidRDefault="004B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05B7F" w14:textId="77777777" w:rsidR="00BD28D0" w:rsidRDefault="00BD28D0" w:rsidP="003A6F45">
    <w:pPr>
      <w:pStyle w:val="a3"/>
      <w:rPr>
        <w:noProof/>
        <w:color w:val="0000FF"/>
      </w:rPr>
    </w:pPr>
    <w:r>
      <w:rPr>
        <w:noProof/>
      </w:rPr>
      <w:tab/>
    </w:r>
  </w:p>
  <w:p w14:paraId="6C82E13D" w14:textId="77777777" w:rsidR="00BD28D0" w:rsidRDefault="00BD28D0" w:rsidP="00F60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19B"/>
    <w:multiLevelType w:val="hybridMultilevel"/>
    <w:tmpl w:val="47B68D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555"/>
    <w:multiLevelType w:val="hybridMultilevel"/>
    <w:tmpl w:val="B44E8D4E"/>
    <w:lvl w:ilvl="0" w:tplc="FFCCFB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62E4"/>
    <w:multiLevelType w:val="hybridMultilevel"/>
    <w:tmpl w:val="1B862364"/>
    <w:lvl w:ilvl="0" w:tplc="815E6A04">
      <w:start w:val="1"/>
      <w:numFmt w:val="lowerLetter"/>
      <w:lvlText w:val="(%1)"/>
      <w:lvlJc w:val="left"/>
      <w:pPr>
        <w:tabs>
          <w:tab w:val="num" w:pos="1485"/>
        </w:tabs>
        <w:ind w:left="148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563E62DE"/>
    <w:multiLevelType w:val="hybridMultilevel"/>
    <w:tmpl w:val="DFFEB20C"/>
    <w:lvl w:ilvl="0" w:tplc="F05215AA">
      <w:start w:val="1"/>
      <w:numFmt w:val="russianLow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73357"/>
    <w:multiLevelType w:val="hybridMultilevel"/>
    <w:tmpl w:val="8A543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42BA9"/>
    <w:multiLevelType w:val="multilevel"/>
    <w:tmpl w:val="3ECC9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80"/>
    <w:rsid w:val="0000108E"/>
    <w:rsid w:val="0000250B"/>
    <w:rsid w:val="000036AA"/>
    <w:rsid w:val="000040F6"/>
    <w:rsid w:val="000106EA"/>
    <w:rsid w:val="00012623"/>
    <w:rsid w:val="0001521B"/>
    <w:rsid w:val="000209EF"/>
    <w:rsid w:val="00022FAB"/>
    <w:rsid w:val="00040BDA"/>
    <w:rsid w:val="000452A4"/>
    <w:rsid w:val="0004763C"/>
    <w:rsid w:val="0005121B"/>
    <w:rsid w:val="000603DD"/>
    <w:rsid w:val="0006583E"/>
    <w:rsid w:val="0007421E"/>
    <w:rsid w:val="0008349E"/>
    <w:rsid w:val="000868C2"/>
    <w:rsid w:val="000940F3"/>
    <w:rsid w:val="000A0290"/>
    <w:rsid w:val="000A0529"/>
    <w:rsid w:val="000A30A3"/>
    <w:rsid w:val="000A53B2"/>
    <w:rsid w:val="000B335E"/>
    <w:rsid w:val="000C1289"/>
    <w:rsid w:val="000C2187"/>
    <w:rsid w:val="000C347B"/>
    <w:rsid w:val="000C4CEA"/>
    <w:rsid w:val="000C7150"/>
    <w:rsid w:val="000D31E8"/>
    <w:rsid w:val="000D5A92"/>
    <w:rsid w:val="000D6C61"/>
    <w:rsid w:val="000D77B2"/>
    <w:rsid w:val="000E2747"/>
    <w:rsid w:val="000E4BEE"/>
    <w:rsid w:val="000E6BC9"/>
    <w:rsid w:val="000F16A8"/>
    <w:rsid w:val="000F31DD"/>
    <w:rsid w:val="000F4F87"/>
    <w:rsid w:val="000F7DE2"/>
    <w:rsid w:val="00100018"/>
    <w:rsid w:val="001031A2"/>
    <w:rsid w:val="00111E9F"/>
    <w:rsid w:val="00117AD3"/>
    <w:rsid w:val="0012283F"/>
    <w:rsid w:val="001264D2"/>
    <w:rsid w:val="001264E8"/>
    <w:rsid w:val="001272F5"/>
    <w:rsid w:val="00127984"/>
    <w:rsid w:val="0013004A"/>
    <w:rsid w:val="00131A89"/>
    <w:rsid w:val="00135C09"/>
    <w:rsid w:val="00142F69"/>
    <w:rsid w:val="001450B1"/>
    <w:rsid w:val="00154B5D"/>
    <w:rsid w:val="0016071D"/>
    <w:rsid w:val="00165CB6"/>
    <w:rsid w:val="00166645"/>
    <w:rsid w:val="0017144C"/>
    <w:rsid w:val="0018518E"/>
    <w:rsid w:val="00186016"/>
    <w:rsid w:val="00187CAB"/>
    <w:rsid w:val="001918BB"/>
    <w:rsid w:val="00192647"/>
    <w:rsid w:val="0019294F"/>
    <w:rsid w:val="001946AA"/>
    <w:rsid w:val="00196390"/>
    <w:rsid w:val="001B1D5E"/>
    <w:rsid w:val="001B2579"/>
    <w:rsid w:val="001B2691"/>
    <w:rsid w:val="001B3266"/>
    <w:rsid w:val="001B779C"/>
    <w:rsid w:val="001C3CF2"/>
    <w:rsid w:val="001C4552"/>
    <w:rsid w:val="001C458D"/>
    <w:rsid w:val="001C5560"/>
    <w:rsid w:val="001C5DF4"/>
    <w:rsid w:val="001D31CB"/>
    <w:rsid w:val="001D520A"/>
    <w:rsid w:val="001D61A6"/>
    <w:rsid w:val="001E2F4B"/>
    <w:rsid w:val="001E3B23"/>
    <w:rsid w:val="001E4D93"/>
    <w:rsid w:val="001F3E1D"/>
    <w:rsid w:val="001F3EEC"/>
    <w:rsid w:val="001F57ED"/>
    <w:rsid w:val="001F79DF"/>
    <w:rsid w:val="00202375"/>
    <w:rsid w:val="0020587F"/>
    <w:rsid w:val="002063C5"/>
    <w:rsid w:val="0021600D"/>
    <w:rsid w:val="00222A43"/>
    <w:rsid w:val="002341BD"/>
    <w:rsid w:val="002362BD"/>
    <w:rsid w:val="0024092E"/>
    <w:rsid w:val="0024331F"/>
    <w:rsid w:val="00253F0A"/>
    <w:rsid w:val="002554A4"/>
    <w:rsid w:val="00263188"/>
    <w:rsid w:val="00264784"/>
    <w:rsid w:val="00267977"/>
    <w:rsid w:val="00270216"/>
    <w:rsid w:val="0027486F"/>
    <w:rsid w:val="00283679"/>
    <w:rsid w:val="0028449A"/>
    <w:rsid w:val="00285EC0"/>
    <w:rsid w:val="00287EEA"/>
    <w:rsid w:val="002947A1"/>
    <w:rsid w:val="002A6074"/>
    <w:rsid w:val="002A65FD"/>
    <w:rsid w:val="002B2C1A"/>
    <w:rsid w:val="002C3283"/>
    <w:rsid w:val="002E138F"/>
    <w:rsid w:val="002E52BD"/>
    <w:rsid w:val="002F607D"/>
    <w:rsid w:val="002F6864"/>
    <w:rsid w:val="00300EB1"/>
    <w:rsid w:val="00301429"/>
    <w:rsid w:val="00304051"/>
    <w:rsid w:val="00304B88"/>
    <w:rsid w:val="0031192A"/>
    <w:rsid w:val="00312783"/>
    <w:rsid w:val="003203F0"/>
    <w:rsid w:val="00320468"/>
    <w:rsid w:val="0032335E"/>
    <w:rsid w:val="003272DD"/>
    <w:rsid w:val="00330042"/>
    <w:rsid w:val="00333058"/>
    <w:rsid w:val="00335B51"/>
    <w:rsid w:val="00340822"/>
    <w:rsid w:val="00342AC4"/>
    <w:rsid w:val="00342E08"/>
    <w:rsid w:val="00346549"/>
    <w:rsid w:val="003539BE"/>
    <w:rsid w:val="003566B3"/>
    <w:rsid w:val="00356D60"/>
    <w:rsid w:val="00364793"/>
    <w:rsid w:val="00366A1F"/>
    <w:rsid w:val="00374E7C"/>
    <w:rsid w:val="00382D94"/>
    <w:rsid w:val="00383A18"/>
    <w:rsid w:val="00387E1D"/>
    <w:rsid w:val="00393B67"/>
    <w:rsid w:val="00393DB2"/>
    <w:rsid w:val="00396B71"/>
    <w:rsid w:val="003A2212"/>
    <w:rsid w:val="003A6F45"/>
    <w:rsid w:val="003D375E"/>
    <w:rsid w:val="003E4417"/>
    <w:rsid w:val="003E5D59"/>
    <w:rsid w:val="00402171"/>
    <w:rsid w:val="0041397C"/>
    <w:rsid w:val="00414AA1"/>
    <w:rsid w:val="0041581F"/>
    <w:rsid w:val="0041682E"/>
    <w:rsid w:val="00417BC1"/>
    <w:rsid w:val="004214D6"/>
    <w:rsid w:val="00421B61"/>
    <w:rsid w:val="00427892"/>
    <w:rsid w:val="00430336"/>
    <w:rsid w:val="0043046A"/>
    <w:rsid w:val="004427A5"/>
    <w:rsid w:val="00443E61"/>
    <w:rsid w:val="00445C49"/>
    <w:rsid w:val="0044758B"/>
    <w:rsid w:val="00450A81"/>
    <w:rsid w:val="0046242D"/>
    <w:rsid w:val="0046398B"/>
    <w:rsid w:val="004660F0"/>
    <w:rsid w:val="00473440"/>
    <w:rsid w:val="00474915"/>
    <w:rsid w:val="00482C84"/>
    <w:rsid w:val="00487150"/>
    <w:rsid w:val="00491B6E"/>
    <w:rsid w:val="00493225"/>
    <w:rsid w:val="004A2598"/>
    <w:rsid w:val="004A7F2D"/>
    <w:rsid w:val="004B0719"/>
    <w:rsid w:val="004B53DD"/>
    <w:rsid w:val="004B7688"/>
    <w:rsid w:val="004C0962"/>
    <w:rsid w:val="004C304E"/>
    <w:rsid w:val="004C4091"/>
    <w:rsid w:val="004C4A0A"/>
    <w:rsid w:val="004C4C66"/>
    <w:rsid w:val="004D16FE"/>
    <w:rsid w:val="004D63F6"/>
    <w:rsid w:val="004D7E89"/>
    <w:rsid w:val="004E0E66"/>
    <w:rsid w:val="004F217D"/>
    <w:rsid w:val="004F2ACA"/>
    <w:rsid w:val="005010B9"/>
    <w:rsid w:val="005031D7"/>
    <w:rsid w:val="00506B10"/>
    <w:rsid w:val="00511153"/>
    <w:rsid w:val="00514122"/>
    <w:rsid w:val="00514160"/>
    <w:rsid w:val="00516B39"/>
    <w:rsid w:val="00521C00"/>
    <w:rsid w:val="005224E5"/>
    <w:rsid w:val="00527F0D"/>
    <w:rsid w:val="00530B91"/>
    <w:rsid w:val="0053146B"/>
    <w:rsid w:val="00542D02"/>
    <w:rsid w:val="005531C8"/>
    <w:rsid w:val="005532F9"/>
    <w:rsid w:val="00560DE9"/>
    <w:rsid w:val="005615BF"/>
    <w:rsid w:val="00570AA3"/>
    <w:rsid w:val="0057284A"/>
    <w:rsid w:val="005768CD"/>
    <w:rsid w:val="00582186"/>
    <w:rsid w:val="0059063C"/>
    <w:rsid w:val="0059299C"/>
    <w:rsid w:val="00596C5C"/>
    <w:rsid w:val="005A3583"/>
    <w:rsid w:val="005A4FFC"/>
    <w:rsid w:val="005A7985"/>
    <w:rsid w:val="005B6CEA"/>
    <w:rsid w:val="005C0C49"/>
    <w:rsid w:val="005C20FE"/>
    <w:rsid w:val="005C2A04"/>
    <w:rsid w:val="005C2B75"/>
    <w:rsid w:val="005C4BF0"/>
    <w:rsid w:val="005C64DA"/>
    <w:rsid w:val="005C6E10"/>
    <w:rsid w:val="005D2402"/>
    <w:rsid w:val="005D3258"/>
    <w:rsid w:val="005D3407"/>
    <w:rsid w:val="005D6C14"/>
    <w:rsid w:val="005E18BF"/>
    <w:rsid w:val="005E62F0"/>
    <w:rsid w:val="005F068A"/>
    <w:rsid w:val="005F07DB"/>
    <w:rsid w:val="005F538D"/>
    <w:rsid w:val="0060461A"/>
    <w:rsid w:val="006150C9"/>
    <w:rsid w:val="00615684"/>
    <w:rsid w:val="006156D6"/>
    <w:rsid w:val="00616691"/>
    <w:rsid w:val="00621DF2"/>
    <w:rsid w:val="00623D90"/>
    <w:rsid w:val="006405A1"/>
    <w:rsid w:val="006438A6"/>
    <w:rsid w:val="006468D1"/>
    <w:rsid w:val="0065513D"/>
    <w:rsid w:val="00660F11"/>
    <w:rsid w:val="00663D0D"/>
    <w:rsid w:val="00665DD6"/>
    <w:rsid w:val="00670A2E"/>
    <w:rsid w:val="00673E89"/>
    <w:rsid w:val="006740B0"/>
    <w:rsid w:val="00677620"/>
    <w:rsid w:val="0068028D"/>
    <w:rsid w:val="006840DA"/>
    <w:rsid w:val="006858D5"/>
    <w:rsid w:val="00687AE4"/>
    <w:rsid w:val="00687C80"/>
    <w:rsid w:val="00690101"/>
    <w:rsid w:val="00691842"/>
    <w:rsid w:val="00696BAC"/>
    <w:rsid w:val="006A31BF"/>
    <w:rsid w:val="006A7347"/>
    <w:rsid w:val="006B0D96"/>
    <w:rsid w:val="006B236A"/>
    <w:rsid w:val="006B4235"/>
    <w:rsid w:val="006B6136"/>
    <w:rsid w:val="006C006A"/>
    <w:rsid w:val="006D71C9"/>
    <w:rsid w:val="006D7B23"/>
    <w:rsid w:val="006E1FBA"/>
    <w:rsid w:val="006E49FD"/>
    <w:rsid w:val="006E67F4"/>
    <w:rsid w:val="006E6A14"/>
    <w:rsid w:val="006F159F"/>
    <w:rsid w:val="006F3ABF"/>
    <w:rsid w:val="006F59F4"/>
    <w:rsid w:val="006F79C2"/>
    <w:rsid w:val="00700A81"/>
    <w:rsid w:val="007040FF"/>
    <w:rsid w:val="007175E9"/>
    <w:rsid w:val="00717D80"/>
    <w:rsid w:val="00720B26"/>
    <w:rsid w:val="007214A4"/>
    <w:rsid w:val="00722D7D"/>
    <w:rsid w:val="00725085"/>
    <w:rsid w:val="007356D7"/>
    <w:rsid w:val="007431B6"/>
    <w:rsid w:val="0074443C"/>
    <w:rsid w:val="007519AC"/>
    <w:rsid w:val="007534B3"/>
    <w:rsid w:val="00754CE5"/>
    <w:rsid w:val="00762454"/>
    <w:rsid w:val="00765308"/>
    <w:rsid w:val="0077027A"/>
    <w:rsid w:val="0077621F"/>
    <w:rsid w:val="00784FCE"/>
    <w:rsid w:val="00786C06"/>
    <w:rsid w:val="00787942"/>
    <w:rsid w:val="0079242E"/>
    <w:rsid w:val="00793A25"/>
    <w:rsid w:val="007B05B3"/>
    <w:rsid w:val="007B2D08"/>
    <w:rsid w:val="007B3BBA"/>
    <w:rsid w:val="007B55D6"/>
    <w:rsid w:val="007B5B38"/>
    <w:rsid w:val="007B5E8B"/>
    <w:rsid w:val="007B6B60"/>
    <w:rsid w:val="007C383A"/>
    <w:rsid w:val="007D26BD"/>
    <w:rsid w:val="007D75F9"/>
    <w:rsid w:val="007D7607"/>
    <w:rsid w:val="007E068E"/>
    <w:rsid w:val="007E27CB"/>
    <w:rsid w:val="007E313B"/>
    <w:rsid w:val="007E473D"/>
    <w:rsid w:val="007F0C62"/>
    <w:rsid w:val="007F1493"/>
    <w:rsid w:val="007F1D5B"/>
    <w:rsid w:val="007F2A25"/>
    <w:rsid w:val="00803230"/>
    <w:rsid w:val="0080607B"/>
    <w:rsid w:val="00813697"/>
    <w:rsid w:val="008145B4"/>
    <w:rsid w:val="008150CB"/>
    <w:rsid w:val="00815A54"/>
    <w:rsid w:val="0082271E"/>
    <w:rsid w:val="00834965"/>
    <w:rsid w:val="00835124"/>
    <w:rsid w:val="00835FBE"/>
    <w:rsid w:val="008426B8"/>
    <w:rsid w:val="00842B3B"/>
    <w:rsid w:val="00845069"/>
    <w:rsid w:val="00850FCF"/>
    <w:rsid w:val="008530F2"/>
    <w:rsid w:val="0086010C"/>
    <w:rsid w:val="008637F9"/>
    <w:rsid w:val="008653E2"/>
    <w:rsid w:val="00866FDA"/>
    <w:rsid w:val="00867631"/>
    <w:rsid w:val="008731B4"/>
    <w:rsid w:val="0088117B"/>
    <w:rsid w:val="00881B62"/>
    <w:rsid w:val="00895DC5"/>
    <w:rsid w:val="00897C87"/>
    <w:rsid w:val="008A30C6"/>
    <w:rsid w:val="008B1F24"/>
    <w:rsid w:val="008B1F26"/>
    <w:rsid w:val="008C3BF4"/>
    <w:rsid w:val="008E0CB5"/>
    <w:rsid w:val="008E1E3E"/>
    <w:rsid w:val="008E20BD"/>
    <w:rsid w:val="008E4229"/>
    <w:rsid w:val="008E73A7"/>
    <w:rsid w:val="008F0080"/>
    <w:rsid w:val="008F01A4"/>
    <w:rsid w:val="008F3028"/>
    <w:rsid w:val="008F3BEC"/>
    <w:rsid w:val="008F6460"/>
    <w:rsid w:val="00903013"/>
    <w:rsid w:val="009034ED"/>
    <w:rsid w:val="0090533B"/>
    <w:rsid w:val="00911F23"/>
    <w:rsid w:val="009177F5"/>
    <w:rsid w:val="00933CEB"/>
    <w:rsid w:val="009371ED"/>
    <w:rsid w:val="00940800"/>
    <w:rsid w:val="009464AB"/>
    <w:rsid w:val="009618F0"/>
    <w:rsid w:val="00963C09"/>
    <w:rsid w:val="0096552F"/>
    <w:rsid w:val="00966B2F"/>
    <w:rsid w:val="0097138F"/>
    <w:rsid w:val="00984FBE"/>
    <w:rsid w:val="00986835"/>
    <w:rsid w:val="00991665"/>
    <w:rsid w:val="00995BCD"/>
    <w:rsid w:val="00995C8B"/>
    <w:rsid w:val="00995D19"/>
    <w:rsid w:val="009B3398"/>
    <w:rsid w:val="009C0853"/>
    <w:rsid w:val="009C240B"/>
    <w:rsid w:val="009D04D1"/>
    <w:rsid w:val="009E257C"/>
    <w:rsid w:val="009F178E"/>
    <w:rsid w:val="009F18E8"/>
    <w:rsid w:val="009F5FA6"/>
    <w:rsid w:val="00A01BC7"/>
    <w:rsid w:val="00A035C3"/>
    <w:rsid w:val="00A04808"/>
    <w:rsid w:val="00A0559A"/>
    <w:rsid w:val="00A05E29"/>
    <w:rsid w:val="00A06FA3"/>
    <w:rsid w:val="00A16232"/>
    <w:rsid w:val="00A17518"/>
    <w:rsid w:val="00A23C6E"/>
    <w:rsid w:val="00A302B9"/>
    <w:rsid w:val="00A31C07"/>
    <w:rsid w:val="00A32766"/>
    <w:rsid w:val="00A32E8B"/>
    <w:rsid w:val="00A330D4"/>
    <w:rsid w:val="00A5438B"/>
    <w:rsid w:val="00A643C7"/>
    <w:rsid w:val="00A65AD1"/>
    <w:rsid w:val="00A74559"/>
    <w:rsid w:val="00A8079A"/>
    <w:rsid w:val="00A837CD"/>
    <w:rsid w:val="00A849AC"/>
    <w:rsid w:val="00A84A06"/>
    <w:rsid w:val="00A8745F"/>
    <w:rsid w:val="00A904BD"/>
    <w:rsid w:val="00A966CE"/>
    <w:rsid w:val="00A97473"/>
    <w:rsid w:val="00AA322C"/>
    <w:rsid w:val="00AA4D12"/>
    <w:rsid w:val="00AA5BEA"/>
    <w:rsid w:val="00AB2A20"/>
    <w:rsid w:val="00AB39DF"/>
    <w:rsid w:val="00AB4712"/>
    <w:rsid w:val="00AB5508"/>
    <w:rsid w:val="00AC1503"/>
    <w:rsid w:val="00AC7159"/>
    <w:rsid w:val="00AD545A"/>
    <w:rsid w:val="00AE11A6"/>
    <w:rsid w:val="00AE1345"/>
    <w:rsid w:val="00AE3F2B"/>
    <w:rsid w:val="00AE68CF"/>
    <w:rsid w:val="00AF1EA2"/>
    <w:rsid w:val="00AF291D"/>
    <w:rsid w:val="00AF3701"/>
    <w:rsid w:val="00AF537F"/>
    <w:rsid w:val="00AF60B8"/>
    <w:rsid w:val="00AF7B26"/>
    <w:rsid w:val="00B045A9"/>
    <w:rsid w:val="00B21DF3"/>
    <w:rsid w:val="00B25B06"/>
    <w:rsid w:val="00B25C73"/>
    <w:rsid w:val="00B300D8"/>
    <w:rsid w:val="00B3493D"/>
    <w:rsid w:val="00B35386"/>
    <w:rsid w:val="00B41022"/>
    <w:rsid w:val="00B46E1C"/>
    <w:rsid w:val="00B50CEA"/>
    <w:rsid w:val="00B52805"/>
    <w:rsid w:val="00B551DF"/>
    <w:rsid w:val="00B70C5D"/>
    <w:rsid w:val="00B72399"/>
    <w:rsid w:val="00B77369"/>
    <w:rsid w:val="00B84EF1"/>
    <w:rsid w:val="00B86BFE"/>
    <w:rsid w:val="00BA099A"/>
    <w:rsid w:val="00BA1A60"/>
    <w:rsid w:val="00BA1CBC"/>
    <w:rsid w:val="00BA4776"/>
    <w:rsid w:val="00BA6361"/>
    <w:rsid w:val="00BB6EF0"/>
    <w:rsid w:val="00BB705E"/>
    <w:rsid w:val="00BB737D"/>
    <w:rsid w:val="00BC44FB"/>
    <w:rsid w:val="00BC4DBA"/>
    <w:rsid w:val="00BD28D0"/>
    <w:rsid w:val="00BD7589"/>
    <w:rsid w:val="00BE1C43"/>
    <w:rsid w:val="00BE2948"/>
    <w:rsid w:val="00BE5B35"/>
    <w:rsid w:val="00BE64ED"/>
    <w:rsid w:val="00BF26AA"/>
    <w:rsid w:val="00BF54C4"/>
    <w:rsid w:val="00C01D04"/>
    <w:rsid w:val="00C02F26"/>
    <w:rsid w:val="00C05B43"/>
    <w:rsid w:val="00C118A8"/>
    <w:rsid w:val="00C15025"/>
    <w:rsid w:val="00C20F81"/>
    <w:rsid w:val="00C2122A"/>
    <w:rsid w:val="00C35873"/>
    <w:rsid w:val="00C366E3"/>
    <w:rsid w:val="00C4733E"/>
    <w:rsid w:val="00C538BE"/>
    <w:rsid w:val="00C62278"/>
    <w:rsid w:val="00C63583"/>
    <w:rsid w:val="00C64393"/>
    <w:rsid w:val="00C67BF0"/>
    <w:rsid w:val="00C706C4"/>
    <w:rsid w:val="00C740C9"/>
    <w:rsid w:val="00C82402"/>
    <w:rsid w:val="00C85191"/>
    <w:rsid w:val="00C9301C"/>
    <w:rsid w:val="00C94405"/>
    <w:rsid w:val="00C9736B"/>
    <w:rsid w:val="00CA0C74"/>
    <w:rsid w:val="00CA0E89"/>
    <w:rsid w:val="00CA14A7"/>
    <w:rsid w:val="00CA5D83"/>
    <w:rsid w:val="00CB0F26"/>
    <w:rsid w:val="00CB26B9"/>
    <w:rsid w:val="00CB63A0"/>
    <w:rsid w:val="00CB64CC"/>
    <w:rsid w:val="00CB68C0"/>
    <w:rsid w:val="00CB6B55"/>
    <w:rsid w:val="00CC4FA4"/>
    <w:rsid w:val="00CD3348"/>
    <w:rsid w:val="00CD3DC6"/>
    <w:rsid w:val="00CD488A"/>
    <w:rsid w:val="00CD5762"/>
    <w:rsid w:val="00CE6225"/>
    <w:rsid w:val="00CF021B"/>
    <w:rsid w:val="00CF1C27"/>
    <w:rsid w:val="00D03309"/>
    <w:rsid w:val="00D03F9A"/>
    <w:rsid w:val="00D06208"/>
    <w:rsid w:val="00D1484D"/>
    <w:rsid w:val="00D15B9A"/>
    <w:rsid w:val="00D163A0"/>
    <w:rsid w:val="00D168C6"/>
    <w:rsid w:val="00D20D8E"/>
    <w:rsid w:val="00D24ACE"/>
    <w:rsid w:val="00D323E8"/>
    <w:rsid w:val="00D552BA"/>
    <w:rsid w:val="00D60D30"/>
    <w:rsid w:val="00D64C93"/>
    <w:rsid w:val="00D81769"/>
    <w:rsid w:val="00D912DB"/>
    <w:rsid w:val="00D94926"/>
    <w:rsid w:val="00DA3F8D"/>
    <w:rsid w:val="00DA5825"/>
    <w:rsid w:val="00DA5BC4"/>
    <w:rsid w:val="00DB302D"/>
    <w:rsid w:val="00DB441D"/>
    <w:rsid w:val="00DB4D5D"/>
    <w:rsid w:val="00DC1B6B"/>
    <w:rsid w:val="00DD0D22"/>
    <w:rsid w:val="00DD6E04"/>
    <w:rsid w:val="00DE48F7"/>
    <w:rsid w:val="00DF0224"/>
    <w:rsid w:val="00E0487D"/>
    <w:rsid w:val="00E07F95"/>
    <w:rsid w:val="00E13F30"/>
    <w:rsid w:val="00E15F3F"/>
    <w:rsid w:val="00E200D4"/>
    <w:rsid w:val="00E2158D"/>
    <w:rsid w:val="00E2190C"/>
    <w:rsid w:val="00E2409C"/>
    <w:rsid w:val="00E24223"/>
    <w:rsid w:val="00E26EFB"/>
    <w:rsid w:val="00E30D04"/>
    <w:rsid w:val="00E30D3E"/>
    <w:rsid w:val="00E31752"/>
    <w:rsid w:val="00E3288A"/>
    <w:rsid w:val="00E33625"/>
    <w:rsid w:val="00E34991"/>
    <w:rsid w:val="00E44BC6"/>
    <w:rsid w:val="00E44E8B"/>
    <w:rsid w:val="00E564B9"/>
    <w:rsid w:val="00E565C9"/>
    <w:rsid w:val="00E624A4"/>
    <w:rsid w:val="00E62699"/>
    <w:rsid w:val="00E677C1"/>
    <w:rsid w:val="00E67853"/>
    <w:rsid w:val="00E703C5"/>
    <w:rsid w:val="00E73BE5"/>
    <w:rsid w:val="00E758D0"/>
    <w:rsid w:val="00E770BB"/>
    <w:rsid w:val="00E81E2F"/>
    <w:rsid w:val="00EA5EC6"/>
    <w:rsid w:val="00EB4476"/>
    <w:rsid w:val="00EC149E"/>
    <w:rsid w:val="00EC5A36"/>
    <w:rsid w:val="00ED7AC6"/>
    <w:rsid w:val="00EE536C"/>
    <w:rsid w:val="00EE5492"/>
    <w:rsid w:val="00EE557F"/>
    <w:rsid w:val="00F02C28"/>
    <w:rsid w:val="00F0714F"/>
    <w:rsid w:val="00F12932"/>
    <w:rsid w:val="00F12B2C"/>
    <w:rsid w:val="00F16B14"/>
    <w:rsid w:val="00F177B4"/>
    <w:rsid w:val="00F20656"/>
    <w:rsid w:val="00F26122"/>
    <w:rsid w:val="00F3191D"/>
    <w:rsid w:val="00F46E29"/>
    <w:rsid w:val="00F55168"/>
    <w:rsid w:val="00F55E16"/>
    <w:rsid w:val="00F55E64"/>
    <w:rsid w:val="00F60B28"/>
    <w:rsid w:val="00F644AC"/>
    <w:rsid w:val="00F6603E"/>
    <w:rsid w:val="00F67393"/>
    <w:rsid w:val="00F70780"/>
    <w:rsid w:val="00F714B0"/>
    <w:rsid w:val="00F77C24"/>
    <w:rsid w:val="00F83020"/>
    <w:rsid w:val="00F8572E"/>
    <w:rsid w:val="00F9425D"/>
    <w:rsid w:val="00F9458D"/>
    <w:rsid w:val="00FA02A5"/>
    <w:rsid w:val="00FA0AB8"/>
    <w:rsid w:val="00FA4568"/>
    <w:rsid w:val="00FB279D"/>
    <w:rsid w:val="00FB532A"/>
    <w:rsid w:val="00FB7D66"/>
    <w:rsid w:val="00FB7FAD"/>
    <w:rsid w:val="00FC02D7"/>
    <w:rsid w:val="00FC24F9"/>
    <w:rsid w:val="00FC3661"/>
    <w:rsid w:val="00FC593C"/>
    <w:rsid w:val="00FD7162"/>
    <w:rsid w:val="00FE7B84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FEB268"/>
  <w15:docId w15:val="{D0817C01-C793-4687-8121-173DF1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BC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6C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0BA1"/>
    <w:rPr>
      <w:sz w:val="20"/>
      <w:szCs w:val="20"/>
    </w:rPr>
  </w:style>
  <w:style w:type="paragraph" w:styleId="a5">
    <w:name w:val="footer"/>
    <w:basedOn w:val="a"/>
    <w:link w:val="a6"/>
    <w:uiPriority w:val="99"/>
    <w:rsid w:val="005B6C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0BA1"/>
    <w:rPr>
      <w:sz w:val="20"/>
      <w:szCs w:val="20"/>
    </w:rPr>
  </w:style>
  <w:style w:type="character" w:styleId="a7">
    <w:name w:val="Hyperlink"/>
    <w:basedOn w:val="a0"/>
    <w:uiPriority w:val="99"/>
    <w:rsid w:val="005B6CEA"/>
    <w:rPr>
      <w:rFonts w:cs="Times New Roman"/>
      <w:color w:val="0000FF"/>
      <w:u w:val="single"/>
    </w:rPr>
  </w:style>
  <w:style w:type="paragraph" w:customStyle="1" w:styleId="CG-SingleSp1">
    <w:name w:val="CG-Single Sp 1"/>
    <w:aliases w:val="s3"/>
    <w:basedOn w:val="a"/>
    <w:uiPriority w:val="99"/>
    <w:rsid w:val="005B6CEA"/>
    <w:pPr>
      <w:spacing w:after="240"/>
      <w:ind w:firstLine="1440"/>
    </w:pPr>
  </w:style>
  <w:style w:type="paragraph" w:customStyle="1" w:styleId="CG-Title-Left-Bold">
    <w:name w:val="CG-Title-Left-Bold"/>
    <w:aliases w:val="t3"/>
    <w:basedOn w:val="a"/>
    <w:next w:val="CG-SingleSp1"/>
    <w:uiPriority w:val="99"/>
    <w:rsid w:val="005B6CEA"/>
    <w:pPr>
      <w:keepNext/>
      <w:spacing w:after="240"/>
    </w:pPr>
    <w:rPr>
      <w:b/>
    </w:rPr>
  </w:style>
  <w:style w:type="paragraph" w:styleId="a8">
    <w:name w:val="Balloon Text"/>
    <w:basedOn w:val="a"/>
    <w:link w:val="a9"/>
    <w:uiPriority w:val="99"/>
    <w:semiHidden/>
    <w:rsid w:val="005B6C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BA1"/>
    <w:rPr>
      <w:sz w:val="0"/>
      <w:szCs w:val="0"/>
    </w:rPr>
  </w:style>
  <w:style w:type="character" w:styleId="aa">
    <w:name w:val="page number"/>
    <w:basedOn w:val="a0"/>
    <w:uiPriority w:val="99"/>
    <w:rsid w:val="005B6CEA"/>
    <w:rPr>
      <w:rFonts w:cs="Times New Roman"/>
    </w:rPr>
  </w:style>
  <w:style w:type="paragraph" w:styleId="ab">
    <w:name w:val="footnote text"/>
    <w:basedOn w:val="a"/>
    <w:link w:val="ac"/>
    <w:uiPriority w:val="99"/>
    <w:semiHidden/>
    <w:rsid w:val="005B6CEA"/>
  </w:style>
  <w:style w:type="character" w:customStyle="1" w:styleId="ac">
    <w:name w:val="Текст сноски Знак"/>
    <w:basedOn w:val="a0"/>
    <w:link w:val="ab"/>
    <w:uiPriority w:val="99"/>
    <w:semiHidden/>
    <w:rsid w:val="00B40BA1"/>
    <w:rPr>
      <w:sz w:val="20"/>
      <w:szCs w:val="20"/>
    </w:rPr>
  </w:style>
  <w:style w:type="character" w:styleId="ad">
    <w:name w:val="footnote reference"/>
    <w:basedOn w:val="a0"/>
    <w:uiPriority w:val="99"/>
    <w:semiHidden/>
    <w:rsid w:val="005B6CEA"/>
    <w:rPr>
      <w:rFonts w:cs="Times New Roman"/>
      <w:vertAlign w:val="superscript"/>
    </w:rPr>
  </w:style>
  <w:style w:type="paragraph" w:customStyle="1" w:styleId="Default">
    <w:name w:val="Default"/>
    <w:uiPriority w:val="99"/>
    <w:rsid w:val="00356D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2">
    <w:name w:val="Char Char2"/>
    <w:basedOn w:val="a"/>
    <w:uiPriority w:val="99"/>
    <w:rsid w:val="001E2F4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news42">
    <w:name w:val="news42"/>
    <w:uiPriority w:val="99"/>
    <w:rsid w:val="001E2F4B"/>
    <w:rPr>
      <w:b/>
      <w:color w:val="003961"/>
      <w:u w:val="none"/>
      <w:effect w:val="none"/>
    </w:rPr>
  </w:style>
  <w:style w:type="table" w:styleId="ae">
    <w:name w:val="Table Grid"/>
    <w:basedOn w:val="a1"/>
    <w:uiPriority w:val="59"/>
    <w:rsid w:val="00482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5A7985"/>
  </w:style>
  <w:style w:type="character" w:customStyle="1" w:styleId="af0">
    <w:name w:val="Текст концевой сноски Знак"/>
    <w:basedOn w:val="a0"/>
    <w:link w:val="af"/>
    <w:uiPriority w:val="99"/>
    <w:semiHidden/>
    <w:rsid w:val="005A7985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A7985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0D5A9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D5A92"/>
  </w:style>
  <w:style w:type="character" w:customStyle="1" w:styleId="af4">
    <w:name w:val="Текст примечания Знак"/>
    <w:basedOn w:val="a0"/>
    <w:link w:val="af3"/>
    <w:uiPriority w:val="99"/>
    <w:semiHidden/>
    <w:rsid w:val="000D5A9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D5A9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D5A92"/>
    <w:rPr>
      <w:b/>
      <w:bCs/>
      <w:sz w:val="20"/>
      <w:szCs w:val="20"/>
    </w:rPr>
  </w:style>
  <w:style w:type="paragraph" w:styleId="af7">
    <w:name w:val="List Paragraph"/>
    <w:basedOn w:val="a"/>
    <w:uiPriority w:val="34"/>
    <w:qFormat/>
    <w:rsid w:val="0021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6D76-6E72-480F-A311-7BE8C44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[ON THE LETTERHEAD OF BASELAND HOLDINGS LTD]</vt:lpstr>
      <vt:lpstr>[ON THE LETTERHEAD OF BASELAND HOLDINGS LTD]</vt:lpstr>
    </vt:vector>
  </TitlesOfParts>
  <Company>B&amp;N Bank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[ON THE LETTERHEAD OF BASELAND HOLDINGS LTD]</dc:title>
  <dc:creator>Fataliev Ali</dc:creator>
  <cp:lastModifiedBy>Медведев Сергей Владимирович</cp:lastModifiedBy>
  <cp:revision>2</cp:revision>
  <cp:lastPrinted>2021-10-14T11:15:00Z</cp:lastPrinted>
  <dcterms:created xsi:type="dcterms:W3CDTF">2022-11-17T09:17:00Z</dcterms:created>
  <dcterms:modified xsi:type="dcterms:W3CDTF">2022-11-17T09:17:00Z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N_LEGAL">
    <vt:lpwstr>#05884-V09</vt:lpwstr>
  </property>
  <property fmtid="{D5CDD505-2E9C-101B-9397-08002B2CF9AE}" pid="3" name="_NewReviewCycle">
    <vt:lpwstr/>
  </property>
  <property fmtid="{D5CDD505-2E9C-101B-9397-08002B2CF9AE}" pid="4" name="MSIP_Label_40444da9-3308-4bd6-bbcb-dc50be2e2f47_Enabled">
    <vt:lpwstr>True</vt:lpwstr>
  </property>
  <property fmtid="{D5CDD505-2E9C-101B-9397-08002B2CF9AE}" pid="5" name="MSIP_Label_40444da9-3308-4bd6-bbcb-dc50be2e2f47_SiteId">
    <vt:lpwstr>1a88a898-a3d6-4cd1-bd61-b3827e15f78f</vt:lpwstr>
  </property>
  <property fmtid="{D5CDD505-2E9C-101B-9397-08002B2CF9AE}" pid="6" name="MSIP_Label_40444da9-3308-4bd6-bbcb-dc50be2e2f47_Owner">
    <vt:lpwstr>igm2@europlan.ru</vt:lpwstr>
  </property>
  <property fmtid="{D5CDD505-2E9C-101B-9397-08002B2CF9AE}" pid="7" name="MSIP_Label_40444da9-3308-4bd6-bbcb-dc50be2e2f47_SetDate">
    <vt:lpwstr>2021-01-26T12:22:29.5395897Z</vt:lpwstr>
  </property>
  <property fmtid="{D5CDD505-2E9C-101B-9397-08002B2CF9AE}" pid="8" name="MSIP_Label_40444da9-3308-4bd6-bbcb-dc50be2e2f47_Name">
    <vt:lpwstr>За пределами компании</vt:lpwstr>
  </property>
  <property fmtid="{D5CDD505-2E9C-101B-9397-08002B2CF9AE}" pid="9" name="MSIP_Label_40444da9-3308-4bd6-bbcb-dc50be2e2f47_Application">
    <vt:lpwstr>Microsoft Azure Information Protection</vt:lpwstr>
  </property>
  <property fmtid="{D5CDD505-2E9C-101B-9397-08002B2CF9AE}" pid="10" name="MSIP_Label_40444da9-3308-4bd6-bbcb-dc50be2e2f47_ActionId">
    <vt:lpwstr>0c5689b0-fd6a-4201-9cd8-58b883873bb3</vt:lpwstr>
  </property>
  <property fmtid="{D5CDD505-2E9C-101B-9397-08002B2CF9AE}" pid="11" name="MSIP_Label_40444da9-3308-4bd6-bbcb-dc50be2e2f47_Extended_MSFT_Method">
    <vt:lpwstr>Manual</vt:lpwstr>
  </property>
  <property fmtid="{D5CDD505-2E9C-101B-9397-08002B2CF9AE}" pid="12" name="Sensitivity">
    <vt:lpwstr>За пределами компании</vt:lpwstr>
  </property>
</Properties>
</file>